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DB4" w14:textId="554C6564" w:rsidR="00564C4B" w:rsidRDefault="00564C4B" w:rsidP="00564C4B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r>
        <w:rPr>
          <w:rFonts w:eastAsia="Times New Roman"/>
          <w:b/>
          <w:bCs/>
          <w:color w:val="000000" w:themeColor="text1"/>
          <w:lang w:val="en-US" w:bidi="ar-SA"/>
        </w:rPr>
        <w:t>Preparation</w:t>
      </w:r>
    </w:p>
    <w:p w14:paraId="706FAC87" w14:textId="076B7181" w:rsidR="00564C4B" w:rsidRDefault="00564C4B" w:rsidP="00564C4B">
      <w:pPr>
        <w:pStyle w:val="ListParagraph"/>
        <w:numPr>
          <w:ilvl w:val="0"/>
          <w:numId w:val="10"/>
        </w:numPr>
        <w:spacing w:after="0"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Watch </w:t>
      </w:r>
      <w:hyperlink r:id="rId7" w:history="1">
        <w:r w:rsidRPr="009F6434">
          <w:rPr>
            <w:rStyle w:val="Hyperlink"/>
            <w:rFonts w:eastAsia="Times New Roman"/>
            <w:i/>
            <w:iCs/>
            <w:lang w:val="en-US" w:bidi="ar-SA"/>
          </w:rPr>
          <w:t>Check Yourself with Lateral Reading: Crash Course Navigating Digital Information #3</w:t>
        </w:r>
      </w:hyperlink>
      <w:r>
        <w:rPr>
          <w:rFonts w:eastAsia="Times New Roman"/>
          <w:color w:val="000000" w:themeColor="text1"/>
          <w:lang w:val="en-US" w:bidi="ar-SA"/>
        </w:rPr>
        <w:t xml:space="preserve"> (or read the </w:t>
      </w:r>
      <w:hyperlink r:id="rId8" w:history="1">
        <w:r w:rsidRPr="0079163B">
          <w:rPr>
            <w:rStyle w:val="Hyperlink"/>
            <w:rFonts w:eastAsia="Times New Roman"/>
            <w:lang w:val="en-US" w:bidi="ar-SA"/>
          </w:rPr>
          <w:t>video transcript</w:t>
        </w:r>
      </w:hyperlink>
      <w:r>
        <w:rPr>
          <w:rFonts w:eastAsia="Times New Roman"/>
          <w:color w:val="000000" w:themeColor="text1"/>
          <w:lang w:val="en-US" w:bidi="ar-SA"/>
        </w:rPr>
        <w:t>)</w:t>
      </w:r>
    </w:p>
    <w:p w14:paraId="6FC8FDE8" w14:textId="77777777" w:rsidR="00564C4B" w:rsidRPr="00564C4B" w:rsidRDefault="00564C4B" w:rsidP="00564C4B">
      <w:pPr>
        <w:spacing w:after="0"/>
        <w:rPr>
          <w:rFonts w:eastAsia="Times New Roman"/>
          <w:color w:val="000000" w:themeColor="text1"/>
          <w:lang w:val="en-US" w:bidi="ar-SA"/>
        </w:rPr>
      </w:pPr>
    </w:p>
    <w:p w14:paraId="755029CE" w14:textId="77777777" w:rsidR="007A7D38" w:rsidRPr="002433FA" w:rsidRDefault="007A7D38" w:rsidP="007A7D38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r w:rsidRPr="002433FA"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1F60C52A" w14:textId="5E779D1F" w:rsidR="007A7D38" w:rsidRPr="008D3D7A" w:rsidRDefault="007A7D38" w:rsidP="007A7D38">
      <w:pPr>
        <w:spacing w:after="0"/>
        <w:contextualSpacing/>
        <w:rPr>
          <w:rFonts w:eastAsia="Times New Roman"/>
          <w:color w:val="4472C4" w:themeColor="accent1"/>
        </w:rPr>
      </w:pPr>
      <w:r>
        <w:rPr>
          <w:rFonts w:eastAsia="Times New Roman"/>
          <w:color w:val="000000" w:themeColor="text1"/>
          <w:lang w:val="en-US" w:bidi="ar-SA"/>
        </w:rPr>
        <w:t xml:space="preserve">Claim testing is an important skill for </w:t>
      </w:r>
      <w:r w:rsidR="00282A81">
        <w:rPr>
          <w:rFonts w:eastAsia="Times New Roman"/>
          <w:color w:val="000000" w:themeColor="text1"/>
          <w:lang w:val="en-US" w:bidi="ar-SA"/>
        </w:rPr>
        <w:t>you</w:t>
      </w:r>
      <w:r>
        <w:rPr>
          <w:rFonts w:eastAsia="Times New Roman"/>
          <w:color w:val="000000" w:themeColor="text1"/>
          <w:lang w:val="en-US" w:bidi="ar-SA"/>
        </w:rPr>
        <w:t xml:space="preserve"> to master, especially in an age of misinformation and disinformation. In this activity, </w:t>
      </w:r>
      <w:r w:rsidR="00282A81">
        <w:rPr>
          <w:rFonts w:eastAsia="Times New Roman"/>
          <w:color w:val="000000" w:themeColor="text1"/>
          <w:lang w:val="en-US" w:bidi="ar-SA"/>
        </w:rPr>
        <w:t xml:space="preserve">you’ll </w:t>
      </w:r>
      <w:r>
        <w:rPr>
          <w:rFonts w:eastAsia="Times New Roman"/>
          <w:color w:val="000000" w:themeColor="text1"/>
          <w:lang w:val="en-US" w:bidi="ar-SA"/>
        </w:rPr>
        <w:t>learn about lateral reading</w:t>
      </w:r>
      <w:r w:rsidR="00863C5C">
        <w:rPr>
          <w:rFonts w:eastAsia="Times New Roman"/>
          <w:color w:val="000000" w:themeColor="text1"/>
          <w:lang w:val="en-US" w:bidi="ar-SA"/>
        </w:rPr>
        <w:t>,</w:t>
      </w:r>
      <w:r>
        <w:rPr>
          <w:rFonts w:eastAsia="Times New Roman"/>
          <w:color w:val="000000" w:themeColor="text1"/>
          <w:lang w:val="en-US" w:bidi="ar-SA"/>
        </w:rPr>
        <w:t xml:space="preserve"> and </w:t>
      </w:r>
      <w:r w:rsidR="00282A81">
        <w:rPr>
          <w:rFonts w:eastAsia="Times New Roman"/>
          <w:color w:val="000000" w:themeColor="text1"/>
          <w:lang w:val="en-US" w:bidi="ar-SA"/>
        </w:rPr>
        <w:t xml:space="preserve">you’ll </w:t>
      </w:r>
      <w:r>
        <w:rPr>
          <w:rFonts w:eastAsia="Times New Roman"/>
          <w:color w:val="000000" w:themeColor="text1"/>
          <w:lang w:val="en-US" w:bidi="ar-SA"/>
        </w:rPr>
        <w:t xml:space="preserve">hone </w:t>
      </w:r>
      <w:r w:rsidR="00282A81">
        <w:rPr>
          <w:rFonts w:eastAsia="Times New Roman"/>
          <w:color w:val="000000" w:themeColor="text1"/>
          <w:lang w:val="en-US" w:bidi="ar-SA"/>
        </w:rPr>
        <w:t>your</w:t>
      </w:r>
      <w:r>
        <w:rPr>
          <w:rFonts w:eastAsia="Times New Roman"/>
          <w:color w:val="000000" w:themeColor="text1"/>
          <w:lang w:val="en-US" w:bidi="ar-SA"/>
        </w:rPr>
        <w:t xml:space="preserve"> skills by evaluating a selection of articles</w:t>
      </w:r>
      <w:r w:rsidR="00282A81">
        <w:rPr>
          <w:rFonts w:eastAsia="Times New Roman"/>
          <w:color w:val="000000" w:themeColor="text1"/>
          <w:lang w:val="en-US" w:bidi="ar-SA"/>
        </w:rPr>
        <w:t>. This</w:t>
      </w:r>
      <w:r>
        <w:rPr>
          <w:rFonts w:eastAsia="Times New Roman"/>
          <w:color w:val="000000" w:themeColor="text1"/>
          <w:lang w:val="en-US" w:bidi="ar-SA"/>
        </w:rPr>
        <w:t xml:space="preserve"> will prepare </w:t>
      </w:r>
      <w:r w:rsidR="00282A81">
        <w:rPr>
          <w:rFonts w:eastAsia="Times New Roman"/>
          <w:color w:val="000000" w:themeColor="text1"/>
          <w:lang w:val="en-US" w:bidi="ar-SA"/>
        </w:rPr>
        <w:t>you</w:t>
      </w:r>
      <w:r>
        <w:rPr>
          <w:rFonts w:eastAsia="Times New Roman"/>
          <w:color w:val="000000" w:themeColor="text1"/>
          <w:lang w:val="en-US" w:bidi="ar-SA"/>
        </w:rPr>
        <w:t xml:space="preserve"> to assess online information and misinformation about climate change.</w:t>
      </w:r>
    </w:p>
    <w:p w14:paraId="5E78A383" w14:textId="77777777" w:rsidR="007A7D38" w:rsidRDefault="007A7D38" w:rsidP="007A7D38">
      <w:pPr>
        <w:pStyle w:val="Heading2"/>
      </w:pPr>
      <w:r w:rsidRPr="002249BD">
        <w:t>Process</w:t>
      </w:r>
    </w:p>
    <w:p w14:paraId="5525CED3" w14:textId="275F2F24" w:rsidR="007A7D38" w:rsidRPr="00835591" w:rsidRDefault="007A7D38" w:rsidP="007A7D38">
      <w:pPr>
        <w:rPr>
          <w:b/>
          <w:bCs/>
          <w:i/>
          <w:iCs/>
        </w:rPr>
      </w:pPr>
      <w:r w:rsidRPr="00835591">
        <w:rPr>
          <w:b/>
          <w:bCs/>
          <w:i/>
          <w:iCs/>
        </w:rPr>
        <w:t>Part 1</w:t>
      </w:r>
    </w:p>
    <w:p w14:paraId="267C669F" w14:textId="4E5F2793" w:rsidR="007A7D38" w:rsidRDefault="007A7D38" w:rsidP="00D4363D">
      <w:pPr>
        <w:pStyle w:val="BodyText"/>
        <w:spacing w:before="72"/>
        <w:ind w:right="176"/>
        <w:rPr>
          <w:spacing w:val="-2"/>
        </w:rPr>
      </w:pPr>
      <w:r>
        <w:rPr>
          <w:spacing w:val="-2"/>
        </w:rPr>
        <w:t xml:space="preserve">Read the transcript or watch </w:t>
      </w:r>
      <w:r>
        <w:rPr>
          <w:i/>
          <w:iCs/>
          <w:spacing w:val="-2"/>
        </w:rPr>
        <w:t>Check Yourself with Lateral Reading: Crash Course Navigating Digital Information</w:t>
      </w:r>
      <w:r>
        <w:rPr>
          <w:spacing w:val="-2"/>
        </w:rPr>
        <w:t>. As you watch</w:t>
      </w:r>
      <w:r w:rsidR="00282A81">
        <w:rPr>
          <w:spacing w:val="-2"/>
        </w:rPr>
        <w:t xml:space="preserve"> or read,</w:t>
      </w:r>
      <w:r>
        <w:rPr>
          <w:spacing w:val="-2"/>
        </w:rPr>
        <w:t xml:space="preserve"> answer the questions for Part 1 of the Claim Testing</w:t>
      </w:r>
      <w:r w:rsidR="00282A81">
        <w:rPr>
          <w:spacing w:val="-2"/>
        </w:rPr>
        <w:t>—</w:t>
      </w:r>
      <w:r w:rsidR="00863C5C">
        <w:rPr>
          <w:spacing w:val="-2"/>
        </w:rPr>
        <w:t>E</w:t>
      </w:r>
      <w:r>
        <w:rPr>
          <w:spacing w:val="-2"/>
        </w:rPr>
        <w:t>valuating Online Sources worksheet.</w:t>
      </w:r>
    </w:p>
    <w:p w14:paraId="190B7E15" w14:textId="77777777" w:rsidR="007A7D38" w:rsidRPr="00835591" w:rsidRDefault="007A7D38" w:rsidP="007A7D38">
      <w:pPr>
        <w:pStyle w:val="BodyText"/>
        <w:spacing w:before="72"/>
        <w:ind w:right="176"/>
        <w:rPr>
          <w:b/>
          <w:bCs/>
          <w:i/>
          <w:iCs/>
          <w:spacing w:val="-2"/>
        </w:rPr>
      </w:pPr>
      <w:r w:rsidRPr="00835591">
        <w:rPr>
          <w:b/>
          <w:bCs/>
          <w:i/>
          <w:iCs/>
          <w:spacing w:val="-2"/>
        </w:rPr>
        <w:t>Part 2</w:t>
      </w:r>
    </w:p>
    <w:p w14:paraId="68F0AA31" w14:textId="3ACA0817" w:rsidR="007A7D38" w:rsidRDefault="007A7D38" w:rsidP="001A6846">
      <w:pPr>
        <w:pStyle w:val="BodyText"/>
        <w:numPr>
          <w:ilvl w:val="0"/>
          <w:numId w:val="18"/>
        </w:numPr>
        <w:spacing w:after="120"/>
        <w:ind w:left="538" w:right="176" w:hanging="181"/>
        <w:rPr>
          <w:spacing w:val="-2"/>
        </w:rPr>
      </w:pPr>
      <w:r>
        <w:rPr>
          <w:spacing w:val="-2"/>
        </w:rPr>
        <w:t xml:space="preserve">Once everyone has finished answering the video questions, your teacher will assign you one of the following articles or videos that focus on climate change goals. </w:t>
      </w:r>
    </w:p>
    <w:p w14:paraId="1A067C95" w14:textId="77777777" w:rsidR="00282A81" w:rsidRDefault="00000000" w:rsidP="00282A81">
      <w:pPr>
        <w:pStyle w:val="ListParagraph"/>
        <w:numPr>
          <w:ilvl w:val="2"/>
          <w:numId w:val="12"/>
        </w:numPr>
      </w:pPr>
      <w:hyperlink r:id="rId9" w:history="1">
        <w:r w:rsidR="00282A81">
          <w:rPr>
            <w:rStyle w:val="Hyperlink"/>
          </w:rPr>
          <w:t>“Biden Administration Has New Greenhouse Gas Goals for Federal Buildings,”</w:t>
        </w:r>
      </w:hyperlink>
      <w:r w:rsidR="00282A81">
        <w:t xml:space="preserve"> The Heartland Institute, December 12, 2022</w:t>
      </w:r>
    </w:p>
    <w:p w14:paraId="05E61734" w14:textId="77777777" w:rsidR="00282A81" w:rsidRDefault="00000000" w:rsidP="00282A81">
      <w:pPr>
        <w:pStyle w:val="ListParagraph"/>
        <w:numPr>
          <w:ilvl w:val="2"/>
          <w:numId w:val="12"/>
        </w:numPr>
      </w:pPr>
      <w:hyperlink r:id="rId10" w:history="1">
        <w:r w:rsidR="00282A81">
          <w:rPr>
            <w:rStyle w:val="Hyperlink"/>
          </w:rPr>
          <w:t>“Summit Shows Biden’s Big Vision on Fighting Climate Change,”</w:t>
        </w:r>
      </w:hyperlink>
      <w:r w:rsidR="00282A81">
        <w:t xml:space="preserve"> Matthew Daly and Christina Larson, AP News, April 23, 2021</w:t>
      </w:r>
    </w:p>
    <w:p w14:paraId="6714ECC5" w14:textId="77777777" w:rsidR="00282A81" w:rsidRDefault="00000000" w:rsidP="00282A81">
      <w:pPr>
        <w:pStyle w:val="ListParagraph"/>
        <w:numPr>
          <w:ilvl w:val="2"/>
          <w:numId w:val="12"/>
        </w:numPr>
      </w:pPr>
      <w:hyperlink r:id="rId11" w:history="1">
        <w:r w:rsidR="00282A81" w:rsidRPr="00C63687">
          <w:rPr>
            <w:rStyle w:val="Hyperlink"/>
            <w:i/>
            <w:iCs/>
          </w:rPr>
          <w:t>What’s the Deal with the Green New Deal?</w:t>
        </w:r>
      </w:hyperlink>
      <w:r w:rsidR="00282A81">
        <w:t xml:space="preserve"> Alex Epstein, </w:t>
      </w:r>
      <w:proofErr w:type="spellStart"/>
      <w:r w:rsidR="00282A81">
        <w:t>PragerU</w:t>
      </w:r>
      <w:proofErr w:type="spellEnd"/>
      <w:r w:rsidR="00282A81">
        <w:t>, July 29, 2019</w:t>
      </w:r>
    </w:p>
    <w:p w14:paraId="28CC3B54" w14:textId="77777777" w:rsidR="00282A81" w:rsidRDefault="00000000" w:rsidP="00282A81">
      <w:pPr>
        <w:pStyle w:val="ListParagraph"/>
        <w:numPr>
          <w:ilvl w:val="2"/>
          <w:numId w:val="12"/>
        </w:numPr>
      </w:pPr>
      <w:hyperlink r:id="rId12" w:history="1">
        <w:r w:rsidR="00282A81" w:rsidRPr="00C63687">
          <w:rPr>
            <w:rStyle w:val="Hyperlink"/>
            <w:i/>
            <w:iCs/>
          </w:rPr>
          <w:t>2030 Status, Mother Nature, Apple,</w:t>
        </w:r>
        <w:r w:rsidR="00282A81" w:rsidRPr="00C63687" w:rsidDel="00334918">
          <w:rPr>
            <w:rStyle w:val="Hyperlink"/>
            <w:i/>
            <w:iCs/>
          </w:rPr>
          <w:t xml:space="preserve"> </w:t>
        </w:r>
      </w:hyperlink>
      <w:r w:rsidR="00282A81">
        <w:t>Apple Inc., September 12, 2023</w:t>
      </w:r>
    </w:p>
    <w:p w14:paraId="3E0CBF5C" w14:textId="77777777" w:rsidR="00282A81" w:rsidRPr="00EF73BC" w:rsidRDefault="00000000" w:rsidP="00605892">
      <w:pPr>
        <w:pStyle w:val="ListParagraph"/>
        <w:numPr>
          <w:ilvl w:val="2"/>
          <w:numId w:val="12"/>
        </w:numPr>
        <w:spacing w:after="120"/>
        <w:ind w:hanging="181"/>
      </w:pPr>
      <w:hyperlink r:id="rId13" w:history="1">
        <w:r w:rsidR="00282A81">
          <w:rPr>
            <w:rStyle w:val="Hyperlink"/>
          </w:rPr>
          <w:t>“California Just Banned Gas-Powered Cars. Here’s Everything You Need to Know,”</w:t>
        </w:r>
      </w:hyperlink>
      <w:r w:rsidR="00282A81">
        <w:t xml:space="preserve"> Dan </w:t>
      </w:r>
      <w:proofErr w:type="spellStart"/>
      <w:r w:rsidR="00282A81">
        <w:t>Gearino</w:t>
      </w:r>
      <w:proofErr w:type="spellEnd"/>
      <w:r w:rsidR="00282A81">
        <w:t>, Inside Climate News, September 1, 2022</w:t>
      </w:r>
    </w:p>
    <w:p w14:paraId="02F75F9E" w14:textId="6E74FB90" w:rsidR="007A7D38" w:rsidRDefault="00967CF4" w:rsidP="001A6846">
      <w:pPr>
        <w:pStyle w:val="BodyText"/>
        <w:numPr>
          <w:ilvl w:val="0"/>
          <w:numId w:val="18"/>
        </w:numPr>
        <w:spacing w:after="120"/>
        <w:ind w:left="538" w:right="176" w:hanging="181"/>
        <w:rPr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1" layoutInCell="1" allowOverlap="1" wp14:anchorId="18E3B834" wp14:editId="3BD09CA4">
                <wp:simplePos x="0" y="0"/>
                <wp:positionH relativeFrom="margin">
                  <wp:posOffset>-803910</wp:posOffset>
                </wp:positionH>
                <wp:positionV relativeFrom="margin">
                  <wp:posOffset>5949315</wp:posOffset>
                </wp:positionV>
                <wp:extent cx="9993600" cy="273600"/>
                <wp:effectExtent l="0" t="0" r="0" b="0"/>
                <wp:wrapNone/>
                <wp:docPr id="193844989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E51CC" w14:textId="7062F86C" w:rsidR="00967CF4" w:rsidRPr="00D84410" w:rsidRDefault="00967CF4" w:rsidP="00967CF4">
                            <w:pPr>
                              <w:pStyle w:val="CCFoo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</w:pP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Unless otherwise noted, this work is licensed under </w:t>
                            </w:r>
                            <w:hyperlink r:id="rId14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CC BY 4.0</w:t>
                              </w:r>
                            </w:hyperlink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. Credit: “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Claim Testing</w:t>
                            </w:r>
                            <w:r w:rsidR="007B10D9">
                              <w:rPr>
                                <w:rFonts w:ascii="Calibri" w:hAnsi="Calibri" w:cs="Calibri"/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—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Evaluating Online Sources</w:t>
                            </w: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”, OER Project, </w:t>
                            </w:r>
                            <w:hyperlink r:id="rId15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3B8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.3pt;margin-top:468.45pt;width:786.9pt;height:21.5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" filled="f" stroked="f" strokeweight=".5pt">
                <v:textbox>
                  <w:txbxContent>
                    <w:p w14:paraId="655E51CC" w14:textId="7062F86C" w:rsidR="00967CF4" w:rsidRPr="00D84410" w:rsidRDefault="00967CF4" w:rsidP="00967CF4">
                      <w:pPr>
                        <w:pStyle w:val="CCFoo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</w:pP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Unless otherwise noted, this work is licensed under </w:t>
                      </w:r>
                      <w:hyperlink r:id="rId16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CC BY 4.0</w:t>
                        </w:r>
                      </w:hyperlink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. Credit: “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Claim Testing</w:t>
                      </w:r>
                      <w:r w:rsidR="007B10D9">
                        <w:rPr>
                          <w:rFonts w:ascii="Calibri" w:hAnsi="Calibri" w:cs="Calibri"/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—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Evaluating Online Sources</w:t>
                      </w: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”, OER Project, </w:t>
                      </w:r>
                      <w:hyperlink r:id="rId17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7A7D38">
        <w:rPr>
          <w:spacing w:val="-2"/>
        </w:rPr>
        <w:t xml:space="preserve">Once you’ve finished reading or watching your assigned article/video, answer the questions </w:t>
      </w:r>
      <w:r w:rsidR="001C2FC0">
        <w:rPr>
          <w:spacing w:val="-2"/>
        </w:rPr>
        <w:t>o</w:t>
      </w:r>
      <w:r w:rsidR="007A7D38">
        <w:rPr>
          <w:spacing w:val="-2"/>
        </w:rPr>
        <w:t>n Part 2 of the worksheet.</w:t>
      </w:r>
    </w:p>
    <w:p w14:paraId="3BE16752" w14:textId="4067B382" w:rsidR="007A7D38" w:rsidRDefault="007A7D38" w:rsidP="001A6846">
      <w:pPr>
        <w:pStyle w:val="BodyText"/>
        <w:numPr>
          <w:ilvl w:val="0"/>
          <w:numId w:val="18"/>
        </w:numPr>
        <w:spacing w:after="120"/>
        <w:ind w:left="538" w:right="176" w:hanging="181"/>
        <w:rPr>
          <w:spacing w:val="-2"/>
        </w:rPr>
      </w:pPr>
      <w:r>
        <w:rPr>
          <w:spacing w:val="-2"/>
        </w:rPr>
        <w:t>After you’ve answered the questions for Part 2, your teacher will break the class into groups of five</w:t>
      </w:r>
      <w:r w:rsidR="00282A81">
        <w:rPr>
          <w:spacing w:val="-2"/>
        </w:rPr>
        <w:t xml:space="preserve"> </w:t>
      </w:r>
      <w:r>
        <w:rPr>
          <w:spacing w:val="-2"/>
        </w:rPr>
        <w:t xml:space="preserve">so that each group has someone who read each of the five sources. Discuss the articles/videos you evaluated to determine </w:t>
      </w:r>
      <w:r w:rsidR="00282A81">
        <w:rPr>
          <w:spacing w:val="-2"/>
        </w:rPr>
        <w:t xml:space="preserve">their trustworthiness </w:t>
      </w:r>
      <w:r>
        <w:rPr>
          <w:spacing w:val="-2"/>
        </w:rPr>
        <w:t>by ranking the sources from one to five, with one being the most trustworthy and five the least.</w:t>
      </w:r>
    </w:p>
    <w:p w14:paraId="67B65B99" w14:textId="77777777" w:rsidR="00B05D6E" w:rsidRDefault="007A7D38" w:rsidP="001A6846">
      <w:pPr>
        <w:pStyle w:val="BodyText"/>
        <w:numPr>
          <w:ilvl w:val="0"/>
          <w:numId w:val="18"/>
        </w:numPr>
        <w:spacing w:after="120"/>
        <w:ind w:left="538" w:right="176" w:hanging="181"/>
        <w:rPr>
          <w:spacing w:val="-2"/>
        </w:rPr>
      </w:pPr>
      <w:r>
        <w:rPr>
          <w:spacing w:val="-2"/>
        </w:rPr>
        <w:t>Finally, have a class discussion about the sources that each group chose as the most and least trustworthy.</w:t>
      </w:r>
    </w:p>
    <w:p w14:paraId="3FAE891B" w14:textId="77777777" w:rsidR="00B05D6E" w:rsidRDefault="00B05D6E" w:rsidP="001A6846">
      <w:pPr>
        <w:pStyle w:val="BodyText"/>
        <w:numPr>
          <w:ilvl w:val="0"/>
          <w:numId w:val="18"/>
        </w:numPr>
        <w:spacing w:after="120"/>
        <w:ind w:left="538" w:right="176" w:hanging="181"/>
        <w:rPr>
          <w:b/>
        </w:rPr>
        <w:sectPr w:rsidR="00B05D6E" w:rsidSect="001A6846">
          <w:headerReference w:type="default" r:id="rId18"/>
          <w:pgSz w:w="15840" w:h="12240" w:orient="landscape"/>
          <w:pgMar w:top="1952" w:right="1247" w:bottom="798" w:left="1247" w:header="454" w:footer="283" w:gutter="0"/>
          <w:pgNumType w:start="1"/>
          <w:cols w:space="708"/>
          <w:docGrid w:linePitch="360"/>
        </w:sectPr>
      </w:pPr>
    </w:p>
    <w:p w14:paraId="08A46429" w14:textId="6E188A90" w:rsidR="000A235F" w:rsidRPr="000A235F" w:rsidRDefault="000A235F" w:rsidP="000A235F">
      <w:pPr>
        <w:spacing w:after="160" w:line="259" w:lineRule="auto"/>
        <w:rPr>
          <w:b/>
        </w:rPr>
      </w:pPr>
      <w:r w:rsidRPr="000A235F">
        <w:rPr>
          <w:b/>
        </w:rPr>
        <w:lastRenderedPageBreak/>
        <w:t xml:space="preserve">Directions: </w:t>
      </w:r>
      <w:r w:rsidR="00C11138">
        <w:rPr>
          <w:color w:val="000000"/>
          <w:shd w:val="clear" w:color="auto" w:fill="FFFFFF"/>
        </w:rPr>
        <w:t xml:space="preserve">Use the questions below to help you understand lateral reading and your assigned source. </w:t>
      </w:r>
      <w:r w:rsidR="00C11138" w:rsidRPr="00835591">
        <w:rPr>
          <w:rStyle w:val="apple-converted-space"/>
          <w:color w:val="000000"/>
          <w:sz w:val="21"/>
          <w:szCs w:val="21"/>
          <w:shd w:val="clear" w:color="auto" w:fill="FFFFFF"/>
        </w:rPr>
        <w:t> </w:t>
      </w:r>
    </w:p>
    <w:p w14:paraId="32CD06EE" w14:textId="1FB934E8" w:rsidR="007A7D38" w:rsidRDefault="007A7D38" w:rsidP="007A7D38">
      <w:pPr>
        <w:spacing w:after="160" w:line="259" w:lineRule="auto"/>
        <w:rPr>
          <w:bCs/>
        </w:rPr>
      </w:pPr>
      <w:r w:rsidRPr="00D630BA">
        <w:rPr>
          <w:b/>
          <w:i/>
          <w:iCs/>
        </w:rPr>
        <w:t>Part 1</w:t>
      </w:r>
      <w:r>
        <w:rPr>
          <w:b/>
        </w:rPr>
        <w:t xml:space="preserve">: </w:t>
      </w:r>
      <w:r w:rsidR="00C11138">
        <w:rPr>
          <w:bCs/>
        </w:rPr>
        <w:t xml:space="preserve">Read the transcript or </w:t>
      </w:r>
      <w:r w:rsidR="00C11138" w:rsidRPr="00C11138">
        <w:rPr>
          <w:bCs/>
        </w:rPr>
        <w:t>transcript or watch Check Yourself with Lateral Reading: Crash Course Navigating Digital Information</w:t>
      </w:r>
      <w:r w:rsidR="00C11138">
        <w:rPr>
          <w:bCs/>
        </w:rPr>
        <w:t>. Then, answer the following questions.</w:t>
      </w:r>
    </w:p>
    <w:p w14:paraId="66EA8CDC" w14:textId="77777777" w:rsidR="000A235F" w:rsidRPr="0034762E" w:rsidRDefault="00282A81" w:rsidP="008C5F0D">
      <w:pPr>
        <w:pStyle w:val="ListParagraph"/>
        <w:numPr>
          <w:ilvl w:val="0"/>
          <w:numId w:val="20"/>
        </w:numPr>
        <w:spacing w:after="0" w:line="259" w:lineRule="auto"/>
        <w:ind w:left="357" w:hanging="357"/>
        <w:rPr>
          <w:bCs/>
        </w:rPr>
      </w:pPr>
      <w:r>
        <w:t xml:space="preserve">   Why is it important to know where digital information comes from?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338F810E" w14:textId="77777777" w:rsidTr="006D333C">
        <w:trPr>
          <w:trHeight w:val="774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2AAF2F" w14:textId="77777777" w:rsidR="000A235F" w:rsidRPr="008358CD" w:rsidRDefault="000A235F" w:rsidP="005940A8">
            <w:pPr>
              <w:pStyle w:val="BodyText"/>
            </w:pPr>
          </w:p>
        </w:tc>
      </w:tr>
    </w:tbl>
    <w:p w14:paraId="3D21BEEE" w14:textId="77777777" w:rsidR="000A235F" w:rsidRDefault="000A235F" w:rsidP="000A235F">
      <w:pPr>
        <w:pStyle w:val="ListParagraph"/>
        <w:spacing w:after="0" w:line="259" w:lineRule="auto"/>
        <w:ind w:left="792"/>
      </w:pPr>
    </w:p>
    <w:p w14:paraId="035354B6" w14:textId="77777777" w:rsidR="000A235F" w:rsidRPr="0034762E" w:rsidRDefault="00282A81" w:rsidP="008C5F0D">
      <w:pPr>
        <w:pStyle w:val="ListParagraph"/>
        <w:numPr>
          <w:ilvl w:val="0"/>
          <w:numId w:val="20"/>
        </w:numPr>
        <w:spacing w:after="0" w:line="259" w:lineRule="auto"/>
        <w:ind w:left="357" w:hanging="357"/>
        <w:rPr>
          <w:bCs/>
        </w:rPr>
      </w:pPr>
      <w:r>
        <w:t xml:space="preserve">   What is the first question we should ask when evaluating online information?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3377D442" w14:textId="77777777" w:rsidTr="006D333C">
        <w:trPr>
          <w:trHeight w:val="881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E572F4" w14:textId="77777777" w:rsidR="000A235F" w:rsidRPr="008358CD" w:rsidRDefault="000A235F" w:rsidP="005940A8">
            <w:pPr>
              <w:pStyle w:val="BodyText"/>
            </w:pPr>
          </w:p>
        </w:tc>
      </w:tr>
    </w:tbl>
    <w:p w14:paraId="1276BBA4" w14:textId="77777777" w:rsidR="000A235F" w:rsidRDefault="000A235F" w:rsidP="00AB44E6">
      <w:pPr>
        <w:spacing w:after="0" w:line="259" w:lineRule="auto"/>
      </w:pPr>
    </w:p>
    <w:p w14:paraId="3681F20C" w14:textId="77777777" w:rsidR="000A235F" w:rsidRPr="0034762E" w:rsidRDefault="00282A81" w:rsidP="008C5F0D">
      <w:pPr>
        <w:pStyle w:val="ListParagraph"/>
        <w:numPr>
          <w:ilvl w:val="0"/>
          <w:numId w:val="20"/>
        </w:numPr>
        <w:spacing w:after="0" w:line="259" w:lineRule="auto"/>
        <w:ind w:left="357" w:hanging="357"/>
        <w:rPr>
          <w:bCs/>
        </w:rPr>
      </w:pPr>
      <w:r>
        <w:t xml:space="preserve">   How do we normally read websites and why is this problematic?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63E45B68" w14:textId="77777777" w:rsidTr="006D333C">
        <w:trPr>
          <w:trHeight w:val="750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2F83E9" w14:textId="77777777" w:rsidR="000A235F" w:rsidRPr="008358CD" w:rsidRDefault="000A235F" w:rsidP="005940A8">
            <w:pPr>
              <w:pStyle w:val="BodyText"/>
            </w:pPr>
          </w:p>
        </w:tc>
      </w:tr>
    </w:tbl>
    <w:p w14:paraId="71936709" w14:textId="5D1FB804" w:rsidR="008C5F0D" w:rsidRPr="008C5F0D" w:rsidRDefault="008C5F0D" w:rsidP="008C5F0D">
      <w:pPr>
        <w:pStyle w:val="ListParagraph"/>
        <w:spacing w:after="160" w:line="259" w:lineRule="auto"/>
        <w:ind w:left="360"/>
        <w:rPr>
          <w:bCs/>
        </w:rPr>
      </w:pPr>
    </w:p>
    <w:p w14:paraId="5E697633" w14:textId="497D9394" w:rsidR="000A235F" w:rsidRPr="0034762E" w:rsidRDefault="00282A81" w:rsidP="008C5F0D">
      <w:pPr>
        <w:pStyle w:val="ListParagraph"/>
        <w:numPr>
          <w:ilvl w:val="0"/>
          <w:numId w:val="20"/>
        </w:numPr>
        <w:spacing w:after="0" w:line="259" w:lineRule="auto"/>
        <w:ind w:left="357" w:hanging="357"/>
        <w:rPr>
          <w:bCs/>
        </w:rPr>
      </w:pPr>
      <w:r>
        <w:t>How do you read laterally?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04996366" w14:textId="77777777" w:rsidTr="006D333C">
        <w:trPr>
          <w:trHeight w:val="885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EE865E3" w14:textId="77777777" w:rsidR="000A235F" w:rsidRPr="008358CD" w:rsidRDefault="000A235F" w:rsidP="005940A8">
            <w:pPr>
              <w:pStyle w:val="BodyText"/>
            </w:pPr>
          </w:p>
        </w:tc>
      </w:tr>
    </w:tbl>
    <w:p w14:paraId="0B561D5F" w14:textId="111F2C37" w:rsidR="008C5F0D" w:rsidRDefault="008C5F0D" w:rsidP="008C5F0D">
      <w:pPr>
        <w:pStyle w:val="ListParagraph"/>
        <w:spacing w:after="160" w:line="259" w:lineRule="auto"/>
        <w:ind w:left="360"/>
      </w:pPr>
    </w:p>
    <w:p w14:paraId="5EEDB125" w14:textId="2142662A" w:rsidR="000A235F" w:rsidRPr="0034762E" w:rsidRDefault="00282A81" w:rsidP="000A235F">
      <w:pPr>
        <w:pStyle w:val="ListParagraph"/>
        <w:numPr>
          <w:ilvl w:val="0"/>
          <w:numId w:val="20"/>
        </w:numPr>
        <w:spacing w:after="160" w:line="259" w:lineRule="auto"/>
        <w:rPr>
          <w:bCs/>
        </w:rPr>
      </w:pPr>
      <w:r>
        <w:t xml:space="preserve"> According to John Green, what do we lose when we fail to read laterally?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41478C5A" w14:textId="77777777" w:rsidTr="006D333C">
        <w:trPr>
          <w:trHeight w:val="838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FB1C10A" w14:textId="77777777" w:rsidR="000A235F" w:rsidRPr="008358CD" w:rsidRDefault="000A235F" w:rsidP="005940A8">
            <w:pPr>
              <w:pStyle w:val="BodyText"/>
            </w:pPr>
          </w:p>
        </w:tc>
      </w:tr>
    </w:tbl>
    <w:p w14:paraId="0E56A11C" w14:textId="77777777" w:rsidR="007A7D38" w:rsidRDefault="007A7D38" w:rsidP="007A7D38">
      <w:pPr>
        <w:spacing w:after="160" w:line="259" w:lineRule="auto"/>
        <w:rPr>
          <w:bCs/>
        </w:rPr>
      </w:pPr>
      <w:r w:rsidRPr="00D630BA">
        <w:rPr>
          <w:b/>
          <w:i/>
          <w:iCs/>
        </w:rPr>
        <w:lastRenderedPageBreak/>
        <w:t xml:space="preserve">Part </w:t>
      </w:r>
      <w:r>
        <w:rPr>
          <w:b/>
          <w:i/>
          <w:iCs/>
        </w:rPr>
        <w:t>2</w:t>
      </w:r>
      <w:r>
        <w:rPr>
          <w:b/>
        </w:rPr>
        <w:t xml:space="preserve">: </w:t>
      </w:r>
      <w:r>
        <w:rPr>
          <w:bCs/>
        </w:rPr>
        <w:t>Answer the following questions after evaluating your assigned source.</w:t>
      </w:r>
    </w:p>
    <w:p w14:paraId="7B8F6620" w14:textId="555FE0B5" w:rsidR="000A235F" w:rsidRPr="000A235F" w:rsidRDefault="007A7D38" w:rsidP="000A235F">
      <w:pPr>
        <w:pStyle w:val="ListParagraph"/>
        <w:numPr>
          <w:ilvl w:val="0"/>
          <w:numId w:val="21"/>
        </w:numPr>
        <w:spacing w:after="160" w:line="259" w:lineRule="auto"/>
        <w:rPr>
          <w:bCs/>
        </w:rPr>
      </w:pPr>
      <w:r w:rsidRPr="000A235F">
        <w:rPr>
          <w:spacing w:val="-2"/>
        </w:rPr>
        <w:t>Who is the author? Is the author an authority on this topic, why or why not?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0FDB7514" w14:textId="77777777" w:rsidTr="006D333C">
        <w:trPr>
          <w:trHeight w:val="638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4DD46F" w14:textId="77777777" w:rsidR="000A235F" w:rsidRPr="008358CD" w:rsidRDefault="000A235F" w:rsidP="005940A8">
            <w:pPr>
              <w:pStyle w:val="BodyText"/>
            </w:pPr>
          </w:p>
        </w:tc>
      </w:tr>
    </w:tbl>
    <w:p w14:paraId="2C6F5BAE" w14:textId="71273011" w:rsidR="007A7D38" w:rsidRDefault="007A7D38" w:rsidP="000A235F">
      <w:pPr>
        <w:pStyle w:val="BodyText"/>
        <w:spacing w:after="0"/>
        <w:ind w:left="357" w:right="176"/>
        <w:rPr>
          <w:spacing w:val="-2"/>
        </w:rPr>
      </w:pPr>
    </w:p>
    <w:p w14:paraId="50BB733F" w14:textId="77777777" w:rsidR="000A235F" w:rsidRPr="000A235F" w:rsidRDefault="007A7D38" w:rsidP="000A235F">
      <w:pPr>
        <w:pStyle w:val="ListParagraph"/>
        <w:numPr>
          <w:ilvl w:val="0"/>
          <w:numId w:val="21"/>
        </w:numPr>
        <w:spacing w:after="160" w:line="259" w:lineRule="auto"/>
        <w:rPr>
          <w:bCs/>
        </w:rPr>
      </w:pPr>
      <w:r>
        <w:rPr>
          <w:spacing w:val="-2"/>
        </w:rPr>
        <w:t xml:space="preserve">   Who produced or published the article/video?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566B9191" w14:textId="77777777" w:rsidTr="006D333C">
        <w:trPr>
          <w:trHeight w:val="745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2411912" w14:textId="77777777" w:rsidR="000A235F" w:rsidRPr="008358CD" w:rsidRDefault="000A235F" w:rsidP="005940A8">
            <w:pPr>
              <w:pStyle w:val="BodyText"/>
            </w:pPr>
          </w:p>
        </w:tc>
      </w:tr>
    </w:tbl>
    <w:p w14:paraId="73680FDC" w14:textId="77777777" w:rsidR="000A235F" w:rsidRDefault="000A235F" w:rsidP="000A235F">
      <w:pPr>
        <w:pStyle w:val="BodyText"/>
        <w:spacing w:after="0"/>
        <w:ind w:left="360" w:right="176"/>
        <w:rPr>
          <w:spacing w:val="-2"/>
        </w:rPr>
      </w:pPr>
    </w:p>
    <w:p w14:paraId="038562B9" w14:textId="77777777" w:rsidR="000A235F" w:rsidRPr="000A235F" w:rsidRDefault="007A7D38" w:rsidP="000A235F">
      <w:pPr>
        <w:pStyle w:val="ListParagraph"/>
        <w:numPr>
          <w:ilvl w:val="0"/>
          <w:numId w:val="21"/>
        </w:numPr>
        <w:spacing w:after="160" w:line="259" w:lineRule="auto"/>
        <w:rPr>
          <w:bCs/>
        </w:rPr>
      </w:pPr>
      <w:r>
        <w:rPr>
          <w:spacing w:val="-2"/>
        </w:rPr>
        <w:t xml:space="preserve">   What’s the motivation for the article/video?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522EED8D" w14:textId="77777777" w:rsidTr="006D333C">
        <w:trPr>
          <w:trHeight w:val="755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F28FAEC" w14:textId="77777777" w:rsidR="000A235F" w:rsidRPr="008358CD" w:rsidRDefault="000A235F" w:rsidP="005940A8">
            <w:pPr>
              <w:pStyle w:val="BodyText"/>
            </w:pPr>
          </w:p>
        </w:tc>
      </w:tr>
    </w:tbl>
    <w:p w14:paraId="273F17B7" w14:textId="77777777" w:rsidR="000A235F" w:rsidRDefault="000A235F" w:rsidP="000A235F">
      <w:pPr>
        <w:pStyle w:val="BodyText"/>
        <w:spacing w:after="0"/>
        <w:ind w:left="360" w:right="176"/>
        <w:rPr>
          <w:spacing w:val="-2"/>
        </w:rPr>
      </w:pPr>
    </w:p>
    <w:p w14:paraId="3A7D80A7" w14:textId="77777777" w:rsidR="000A235F" w:rsidRPr="000A235F" w:rsidRDefault="007A7D38" w:rsidP="000A235F">
      <w:pPr>
        <w:pStyle w:val="ListParagraph"/>
        <w:numPr>
          <w:ilvl w:val="0"/>
          <w:numId w:val="21"/>
        </w:numPr>
        <w:spacing w:after="160" w:line="259" w:lineRule="auto"/>
        <w:rPr>
          <w:bCs/>
        </w:rPr>
      </w:pPr>
      <w:r>
        <w:rPr>
          <w:spacing w:val="-2"/>
        </w:rPr>
        <w:t xml:space="preserve">   What claim or claims does the author make? Are these claims corroborated by other sources?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28D367EE" w14:textId="77777777" w:rsidTr="006D333C">
        <w:trPr>
          <w:trHeight w:val="879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BD50D8" w14:textId="77777777" w:rsidR="000A235F" w:rsidRPr="008358CD" w:rsidRDefault="000A235F" w:rsidP="005940A8">
            <w:pPr>
              <w:pStyle w:val="BodyText"/>
            </w:pPr>
          </w:p>
        </w:tc>
      </w:tr>
    </w:tbl>
    <w:p w14:paraId="5DFAFC9A" w14:textId="77777777" w:rsidR="000A235F" w:rsidRDefault="000A235F" w:rsidP="000A235F">
      <w:pPr>
        <w:pStyle w:val="BodyText"/>
        <w:spacing w:after="0"/>
        <w:ind w:left="360" w:right="176"/>
        <w:rPr>
          <w:spacing w:val="-2"/>
        </w:rPr>
      </w:pPr>
    </w:p>
    <w:p w14:paraId="00B9761E" w14:textId="77777777" w:rsidR="000A235F" w:rsidRPr="000A235F" w:rsidRDefault="007A7D38" w:rsidP="000A235F">
      <w:pPr>
        <w:pStyle w:val="ListParagraph"/>
        <w:numPr>
          <w:ilvl w:val="0"/>
          <w:numId w:val="21"/>
        </w:numPr>
        <w:spacing w:after="160" w:line="259" w:lineRule="auto"/>
        <w:rPr>
          <w:bCs/>
        </w:rPr>
      </w:pPr>
      <w:r>
        <w:rPr>
          <w:spacing w:val="-2"/>
        </w:rPr>
        <w:t xml:space="preserve">   Is the source trustworthy? Why or why not?</w:t>
      </w:r>
    </w:p>
    <w:tbl>
      <w:tblPr>
        <w:tblW w:w="0" w:type="auto"/>
        <w:tblInd w:w="564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58"/>
      </w:tblGrid>
      <w:tr w:rsidR="000A235F" w:rsidRPr="008358CD" w14:paraId="04DB4C0E" w14:textId="77777777" w:rsidTr="006D333C">
        <w:trPr>
          <w:trHeight w:val="979"/>
        </w:trPr>
        <w:tc>
          <w:tcPr>
            <w:tcW w:w="12758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F50C07" w14:textId="77777777" w:rsidR="000A235F" w:rsidRPr="008358CD" w:rsidRDefault="000A235F" w:rsidP="005940A8">
            <w:pPr>
              <w:pStyle w:val="BodyText"/>
            </w:pPr>
          </w:p>
        </w:tc>
      </w:tr>
    </w:tbl>
    <w:p w14:paraId="2BDCC785" w14:textId="6C01560D" w:rsidR="007A7D38" w:rsidRDefault="007A7D38" w:rsidP="000A235F">
      <w:pPr>
        <w:pStyle w:val="BodyText"/>
        <w:spacing w:after="0"/>
        <w:ind w:left="360" w:right="176"/>
        <w:rPr>
          <w:spacing w:val="-2"/>
        </w:rPr>
      </w:pPr>
    </w:p>
    <w:p w14:paraId="5E391593" w14:textId="5A160D27" w:rsidR="000A235F" w:rsidRDefault="007A7D38" w:rsidP="000A235F">
      <w:pPr>
        <w:spacing w:after="160" w:line="259" w:lineRule="auto"/>
        <w:rPr>
          <w:bCs/>
        </w:rPr>
      </w:pPr>
      <w:r>
        <w:rPr>
          <w:bCs/>
        </w:rPr>
        <w:lastRenderedPageBreak/>
        <w:t>Rank the sources from most trustworthy (1) to least trustworthy (5). Explain your reasoning.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1"/>
        <w:gridCol w:w="2540"/>
        <w:gridCol w:w="9655"/>
      </w:tblGrid>
      <w:tr w:rsidR="000A235F" w14:paraId="26600CDC" w14:textId="77777777" w:rsidTr="008C5F0D">
        <w:tc>
          <w:tcPr>
            <w:tcW w:w="1141" w:type="dxa"/>
            <w:shd w:val="clear" w:color="auto" w:fill="D9D9D9" w:themeFill="background1" w:themeFillShade="D9"/>
          </w:tcPr>
          <w:p w14:paraId="4EFDA203" w14:textId="77777777" w:rsidR="000A235F" w:rsidRPr="00D630BA" w:rsidRDefault="000A235F" w:rsidP="005940A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Ranking</w:t>
            </w:r>
          </w:p>
        </w:tc>
        <w:tc>
          <w:tcPr>
            <w:tcW w:w="2540" w:type="dxa"/>
            <w:shd w:val="clear" w:color="auto" w:fill="D9D9D9" w:themeFill="background1" w:themeFillShade="D9"/>
          </w:tcPr>
          <w:p w14:paraId="733D1F5C" w14:textId="77777777" w:rsidR="000A235F" w:rsidRPr="00D630BA" w:rsidRDefault="000A235F" w:rsidP="005940A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Source</w:t>
            </w:r>
          </w:p>
        </w:tc>
        <w:tc>
          <w:tcPr>
            <w:tcW w:w="9655" w:type="dxa"/>
            <w:shd w:val="clear" w:color="auto" w:fill="D9D9D9" w:themeFill="background1" w:themeFillShade="D9"/>
          </w:tcPr>
          <w:p w14:paraId="0AE8F733" w14:textId="77777777" w:rsidR="000A235F" w:rsidRDefault="000A235F" w:rsidP="005940A8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Reasoning</w:t>
            </w:r>
          </w:p>
        </w:tc>
      </w:tr>
      <w:tr w:rsidR="000A235F" w14:paraId="75843D41" w14:textId="77777777" w:rsidTr="000F7D0B">
        <w:trPr>
          <w:trHeight w:val="1455"/>
        </w:trPr>
        <w:tc>
          <w:tcPr>
            <w:tcW w:w="1141" w:type="dxa"/>
            <w:shd w:val="clear" w:color="auto" w:fill="F2F2F2" w:themeFill="background1" w:themeFillShade="F2"/>
          </w:tcPr>
          <w:p w14:paraId="4DDA29A4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  <w:tc>
          <w:tcPr>
            <w:tcW w:w="2540" w:type="dxa"/>
            <w:shd w:val="clear" w:color="auto" w:fill="F2F2F2" w:themeFill="background1" w:themeFillShade="F2"/>
          </w:tcPr>
          <w:p w14:paraId="457C4AA0" w14:textId="77777777" w:rsidR="000A235F" w:rsidRPr="00835591" w:rsidRDefault="000A235F" w:rsidP="005940A8">
            <w:pPr>
              <w:spacing w:after="160" w:line="259" w:lineRule="auto"/>
              <w:rPr>
                <w:b/>
              </w:rPr>
            </w:pPr>
            <w:r w:rsidRPr="00835591">
              <w:rPr>
                <w:b/>
              </w:rPr>
              <w:t>The Heartland Institute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4C47B1FE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</w:tr>
      <w:tr w:rsidR="000A235F" w14:paraId="0D19D481" w14:textId="77777777" w:rsidTr="000F7D0B">
        <w:trPr>
          <w:trHeight w:val="1404"/>
        </w:trPr>
        <w:tc>
          <w:tcPr>
            <w:tcW w:w="1141" w:type="dxa"/>
            <w:shd w:val="clear" w:color="auto" w:fill="F2F2F2" w:themeFill="background1" w:themeFillShade="F2"/>
          </w:tcPr>
          <w:p w14:paraId="6D2EDA9A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  <w:tc>
          <w:tcPr>
            <w:tcW w:w="2540" w:type="dxa"/>
            <w:shd w:val="clear" w:color="auto" w:fill="F2F2F2" w:themeFill="background1" w:themeFillShade="F2"/>
          </w:tcPr>
          <w:p w14:paraId="398526AE" w14:textId="77777777" w:rsidR="000A235F" w:rsidRPr="00835591" w:rsidRDefault="000A235F" w:rsidP="005940A8">
            <w:pPr>
              <w:spacing w:after="160" w:line="259" w:lineRule="auto"/>
              <w:rPr>
                <w:b/>
              </w:rPr>
            </w:pPr>
            <w:r w:rsidRPr="00835591">
              <w:rPr>
                <w:b/>
              </w:rPr>
              <w:t>AP News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4429A7DE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</w:tr>
      <w:tr w:rsidR="000A235F" w14:paraId="26EEC3FE" w14:textId="77777777" w:rsidTr="000F7D0B">
        <w:trPr>
          <w:trHeight w:val="1410"/>
        </w:trPr>
        <w:tc>
          <w:tcPr>
            <w:tcW w:w="1141" w:type="dxa"/>
            <w:shd w:val="clear" w:color="auto" w:fill="F2F2F2" w:themeFill="background1" w:themeFillShade="F2"/>
          </w:tcPr>
          <w:p w14:paraId="32FA1F12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  <w:tc>
          <w:tcPr>
            <w:tcW w:w="2540" w:type="dxa"/>
            <w:shd w:val="clear" w:color="auto" w:fill="F2F2F2" w:themeFill="background1" w:themeFillShade="F2"/>
          </w:tcPr>
          <w:p w14:paraId="4086D6F2" w14:textId="77777777" w:rsidR="000A235F" w:rsidRPr="00835591" w:rsidRDefault="000A235F" w:rsidP="005940A8">
            <w:pPr>
              <w:spacing w:after="160" w:line="259" w:lineRule="auto"/>
              <w:rPr>
                <w:b/>
              </w:rPr>
            </w:pPr>
            <w:proofErr w:type="spellStart"/>
            <w:r w:rsidRPr="00835591">
              <w:rPr>
                <w:b/>
              </w:rPr>
              <w:t>PragerU</w:t>
            </w:r>
            <w:proofErr w:type="spellEnd"/>
          </w:p>
        </w:tc>
        <w:tc>
          <w:tcPr>
            <w:tcW w:w="9655" w:type="dxa"/>
            <w:shd w:val="clear" w:color="auto" w:fill="F2F2F2" w:themeFill="background1" w:themeFillShade="F2"/>
          </w:tcPr>
          <w:p w14:paraId="0FF0E0DA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</w:tr>
      <w:tr w:rsidR="000A235F" w14:paraId="1A10E852" w14:textId="77777777" w:rsidTr="000F7D0B">
        <w:trPr>
          <w:trHeight w:val="1402"/>
        </w:trPr>
        <w:tc>
          <w:tcPr>
            <w:tcW w:w="1141" w:type="dxa"/>
            <w:shd w:val="clear" w:color="auto" w:fill="F2F2F2" w:themeFill="background1" w:themeFillShade="F2"/>
          </w:tcPr>
          <w:p w14:paraId="30E1B4FA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  <w:tc>
          <w:tcPr>
            <w:tcW w:w="2540" w:type="dxa"/>
            <w:shd w:val="clear" w:color="auto" w:fill="F2F2F2" w:themeFill="background1" w:themeFillShade="F2"/>
          </w:tcPr>
          <w:p w14:paraId="5DE89C28" w14:textId="77777777" w:rsidR="000A235F" w:rsidRPr="00835591" w:rsidRDefault="000A235F" w:rsidP="005940A8">
            <w:pPr>
              <w:spacing w:after="160" w:line="259" w:lineRule="auto"/>
              <w:rPr>
                <w:b/>
              </w:rPr>
            </w:pPr>
            <w:r w:rsidRPr="00835591">
              <w:rPr>
                <w:b/>
              </w:rPr>
              <w:t>Apple Inc.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3FBB935B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</w:tr>
      <w:tr w:rsidR="000A235F" w14:paraId="3AA18A3E" w14:textId="77777777" w:rsidTr="000F7D0B">
        <w:trPr>
          <w:trHeight w:val="1550"/>
        </w:trPr>
        <w:tc>
          <w:tcPr>
            <w:tcW w:w="1141" w:type="dxa"/>
            <w:shd w:val="clear" w:color="auto" w:fill="F2F2F2" w:themeFill="background1" w:themeFillShade="F2"/>
          </w:tcPr>
          <w:p w14:paraId="15AD5899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  <w:tc>
          <w:tcPr>
            <w:tcW w:w="2540" w:type="dxa"/>
            <w:shd w:val="clear" w:color="auto" w:fill="F2F2F2" w:themeFill="background1" w:themeFillShade="F2"/>
          </w:tcPr>
          <w:p w14:paraId="362CB203" w14:textId="77777777" w:rsidR="000A235F" w:rsidRPr="00835591" w:rsidRDefault="000A235F" w:rsidP="005940A8">
            <w:pPr>
              <w:spacing w:after="160" w:line="259" w:lineRule="auto"/>
              <w:rPr>
                <w:b/>
              </w:rPr>
            </w:pPr>
            <w:r w:rsidRPr="00835591">
              <w:rPr>
                <w:b/>
              </w:rPr>
              <w:t>Inside Climate News</w:t>
            </w:r>
          </w:p>
        </w:tc>
        <w:tc>
          <w:tcPr>
            <w:tcW w:w="9655" w:type="dxa"/>
            <w:shd w:val="clear" w:color="auto" w:fill="F2F2F2" w:themeFill="background1" w:themeFillShade="F2"/>
          </w:tcPr>
          <w:p w14:paraId="6BB5DB0E" w14:textId="77777777" w:rsidR="000A235F" w:rsidRDefault="000A235F" w:rsidP="005940A8">
            <w:pPr>
              <w:spacing w:after="160" w:line="259" w:lineRule="auto"/>
              <w:rPr>
                <w:bCs/>
              </w:rPr>
            </w:pPr>
          </w:p>
        </w:tc>
      </w:tr>
    </w:tbl>
    <w:p w14:paraId="62414490" w14:textId="77777777" w:rsidR="000A235F" w:rsidRDefault="000A235F" w:rsidP="000A235F">
      <w:pPr>
        <w:spacing w:after="160" w:line="259" w:lineRule="auto"/>
        <w:rPr>
          <w:bCs/>
        </w:rPr>
      </w:pPr>
    </w:p>
    <w:p w14:paraId="6EB48496" w14:textId="7CF0328F" w:rsidR="00F905DC" w:rsidRDefault="00F905DC" w:rsidP="000A235F">
      <w:pPr>
        <w:spacing w:after="160" w:line="259" w:lineRule="auto"/>
      </w:pPr>
    </w:p>
    <w:sectPr w:rsidR="00F905DC" w:rsidSect="001A6846">
      <w:headerReference w:type="default" r:id="rId19"/>
      <w:pgSz w:w="15840" w:h="12240" w:orient="landscape"/>
      <w:pgMar w:top="1952" w:right="1247" w:bottom="798" w:left="1247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62BC4" w14:textId="77777777" w:rsidR="00CF27EF" w:rsidRDefault="00CF27EF" w:rsidP="00A63CB5">
      <w:pPr>
        <w:spacing w:after="0"/>
      </w:pPr>
      <w:r>
        <w:separator/>
      </w:r>
    </w:p>
  </w:endnote>
  <w:endnote w:type="continuationSeparator" w:id="0">
    <w:p w14:paraId="53C16D49" w14:textId="77777777" w:rsidR="00CF27EF" w:rsidRDefault="00CF27EF" w:rsidP="00A63C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77E0C" w14:textId="77777777" w:rsidR="00CF27EF" w:rsidRDefault="00CF27EF" w:rsidP="00A63CB5">
      <w:pPr>
        <w:spacing w:after="0"/>
      </w:pPr>
      <w:r>
        <w:separator/>
      </w:r>
    </w:p>
  </w:footnote>
  <w:footnote w:type="continuationSeparator" w:id="0">
    <w:p w14:paraId="7A5789BC" w14:textId="77777777" w:rsidR="00CF27EF" w:rsidRDefault="00CF27EF" w:rsidP="00A63CB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9D68B" w14:textId="3DCBA6BD" w:rsidR="00835591" w:rsidRDefault="00835591" w:rsidP="00872D9C">
    <w:pPr>
      <w:pStyle w:val="Subtitle"/>
    </w:pPr>
    <w:r>
      <w:t xml:space="preserve">CLIMATE PROJECT / </w:t>
    </w:r>
    <w:r w:rsidR="00EB03BE">
      <w:t>UNIT 1</w:t>
    </w:r>
    <w:r>
      <w:tab/>
      <w:t>STUDENT</w:t>
    </w:r>
    <w:r w:rsidRPr="00297AC7">
      <w:t xml:space="preserve"> MATERIALS</w:t>
    </w:r>
  </w:p>
  <w:p w14:paraId="68F87FE4" w14:textId="05419159" w:rsidR="00835591" w:rsidRPr="00DC200D" w:rsidRDefault="00835591" w:rsidP="0062073C">
    <w:pPr>
      <w:pStyle w:val="Title"/>
    </w:pPr>
    <w:r>
      <w:t>CLAIM TESTING—EVALUATING ONLINE SOURCES</w:t>
    </w:r>
    <w:r w:rsidR="00B05D6E">
      <w:t xml:space="preserve"> </w:t>
    </w:r>
    <w:r>
      <w:t xml:space="preserve"> </w:t>
    </w:r>
  </w:p>
  <w:p w14:paraId="204F2F2A" w14:textId="77777777" w:rsidR="00835591" w:rsidRPr="00DC200D" w:rsidRDefault="00835591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8D10FDD" wp14:editId="275A4E34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820526148" name="Rectangle 18205261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90F22E" id="Rectangle 1820526148" o:spid="_x0000_s1026" style="position:absolute;margin-left:-67.05pt;margin-top:-.3pt;width:801.65pt;height:75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BzMWn44gAAABABAAAPAAAAAAAAAAAAAAAAAOEEAABkcnMvZG93bnJldi54bWxQSwUG&#10;AAAAAAQABADzAAAA8AUAAAAA&#10;" fillcolor="#d8d8d8 [2732]" stroked="f" strokeweight="1pt">
              <w10:wrap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1F3BA" w14:textId="10AA684F" w:rsidR="00B05D6E" w:rsidRDefault="00B05D6E" w:rsidP="00872D9C">
    <w:pPr>
      <w:pStyle w:val="Subtitle"/>
    </w:pPr>
    <w:r>
      <w:t xml:space="preserve">CLIMATE PROJECT / </w:t>
    </w:r>
    <w:r w:rsidR="00EB03BE">
      <w:t>UNIT 1</w:t>
    </w:r>
    <w:r>
      <w:tab/>
      <w:t>STUDENT</w:t>
    </w:r>
    <w:r w:rsidRPr="00297AC7">
      <w:t xml:space="preserve"> MATERIALS</w:t>
    </w:r>
  </w:p>
  <w:p w14:paraId="2592D04F" w14:textId="77777777" w:rsidR="00B05D6E" w:rsidRPr="008C5F0D" w:rsidRDefault="00B05D6E" w:rsidP="0062073C">
    <w:pPr>
      <w:pStyle w:val="Title"/>
      <w:rPr>
        <w:sz w:val="32"/>
        <w:szCs w:val="32"/>
      </w:rPr>
    </w:pPr>
    <w:r w:rsidRPr="008C5F0D">
      <w:rPr>
        <w:sz w:val="32"/>
        <w:szCs w:val="32"/>
      </w:rPr>
      <w:t xml:space="preserve">CLAIM TESTING—EVALUATING ONLINE SOURCES  </w:t>
    </w:r>
  </w:p>
  <w:tbl>
    <w:tblPr>
      <w:tblStyle w:val="TableGrid"/>
      <w:tblpPr w:leftFromText="180" w:rightFromText="180" w:horzAnchor="margin" w:tblpXSpec="right" w:tblpY="-1091"/>
      <w:tblW w:w="2608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1"/>
      <w:gridCol w:w="3495"/>
      <w:gridCol w:w="743"/>
      <w:gridCol w:w="1940"/>
    </w:tblGrid>
    <w:tr w:rsidR="00B05D6E" w14:paraId="0BBF889D" w14:textId="77777777" w:rsidTr="005940A8">
      <w:trPr>
        <w:trHeight w:val="454"/>
      </w:trPr>
      <w:tc>
        <w:tcPr>
          <w:tcW w:w="781" w:type="dxa"/>
          <w:tcBorders>
            <w:right w:val="single" w:sz="4" w:space="0" w:color="auto"/>
          </w:tcBorders>
          <w:vAlign w:val="center"/>
        </w:tcPr>
        <w:p w14:paraId="0C4E30F5" w14:textId="77777777" w:rsidR="00B05D6E" w:rsidRPr="009F2EFA" w:rsidRDefault="00B05D6E" w:rsidP="00B05D6E">
          <w:pPr>
            <w:pStyle w:val="Subtitle"/>
            <w:jc w:val="right"/>
            <w:rPr>
              <w:sz w:val="21"/>
              <w:szCs w:val="20"/>
            </w:rPr>
          </w:pPr>
          <w:r w:rsidRPr="009F2EFA">
            <w:rPr>
              <w:sz w:val="21"/>
              <w:szCs w:val="20"/>
            </w:rPr>
            <w:t>Name:</w:t>
          </w:r>
        </w:p>
      </w:tc>
      <w:tc>
        <w:tcPr>
          <w:tcW w:w="34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2EB8DAB5" w14:textId="77777777" w:rsidR="00B05D6E" w:rsidRDefault="00B05D6E" w:rsidP="00B05D6E">
          <w:pPr>
            <w:pStyle w:val="Subtitle"/>
            <w:jc w:val="right"/>
          </w:pPr>
        </w:p>
      </w:tc>
      <w:tc>
        <w:tcPr>
          <w:tcW w:w="743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4AB11F9" w14:textId="77777777" w:rsidR="00B05D6E" w:rsidRPr="009F2EFA" w:rsidRDefault="00B05D6E" w:rsidP="00B05D6E">
          <w:pPr>
            <w:pStyle w:val="Subtitle"/>
            <w:jc w:val="right"/>
          </w:pPr>
          <w:r w:rsidRPr="009F2EFA">
            <w:t>Date:</w:t>
          </w: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14:paraId="31DD241F" w14:textId="77777777" w:rsidR="00B05D6E" w:rsidRDefault="00B05D6E" w:rsidP="00B05D6E">
          <w:pPr>
            <w:pStyle w:val="Subtitle"/>
            <w:jc w:val="right"/>
          </w:pPr>
        </w:p>
      </w:tc>
    </w:tr>
  </w:tbl>
  <w:p w14:paraId="6BD0184F" w14:textId="263A4C6E" w:rsidR="00B05D6E" w:rsidRPr="00DC200D" w:rsidRDefault="00B05D6E" w:rsidP="0062073C">
    <w:pPr>
      <w:pStyle w:val="Title"/>
    </w:pPr>
  </w:p>
  <w:p w14:paraId="294184B7" w14:textId="77777777" w:rsidR="00B05D6E" w:rsidRPr="00DC200D" w:rsidRDefault="00B05D6E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18D1741" wp14:editId="2CC1E9FD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306515907" name="Rectangle 13065159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E383C8" id="Rectangle 1306515907" o:spid="_x0000_s1026" style="position:absolute;margin-left:-67.05pt;margin-top:-.3pt;width:801.65pt;height:75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BzMWn44gAAABABAAAPAAAAAAAAAAAAAAAAAOEEAABkcnMvZG93bnJldi54bWxQSwUG&#10;AAAAAAQABADzAAAA8AUAAAAA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CF8"/>
    <w:multiLevelType w:val="hybridMultilevel"/>
    <w:tmpl w:val="42087F8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07BF"/>
    <w:multiLevelType w:val="hybridMultilevel"/>
    <w:tmpl w:val="23B8A2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suff w:val="space"/>
      <w:lvlText w:val=""/>
      <w:lvlJc w:val="left"/>
      <w:pPr>
        <w:ind w:left="432" w:hanging="72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1081F81"/>
    <w:multiLevelType w:val="hybridMultilevel"/>
    <w:tmpl w:val="8278CB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6BC32BE"/>
    <w:multiLevelType w:val="hybridMultilevel"/>
    <w:tmpl w:val="47F029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57DDD"/>
    <w:multiLevelType w:val="hybridMultilevel"/>
    <w:tmpl w:val="5A4ED6C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5A4D7337"/>
    <w:multiLevelType w:val="hybridMultilevel"/>
    <w:tmpl w:val="9F2E3B04"/>
    <w:lvl w:ilvl="0" w:tplc="3D983C34">
      <w:start w:val="1"/>
      <w:numFmt w:val="decimal"/>
      <w:lvlText w:val="%1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ind w:left="4860" w:hanging="180"/>
      </w:pPr>
    </w:lvl>
  </w:abstractNum>
  <w:abstractNum w:abstractNumId="14" w15:restartNumberingAfterBreak="0">
    <w:nsid w:val="5E135B6A"/>
    <w:multiLevelType w:val="hybridMultilevel"/>
    <w:tmpl w:val="386869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3C47C2"/>
    <w:multiLevelType w:val="hybridMultilevel"/>
    <w:tmpl w:val="0374BE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3901C7"/>
    <w:multiLevelType w:val="hybridMultilevel"/>
    <w:tmpl w:val="BADABE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DE333A"/>
    <w:multiLevelType w:val="hybridMultilevel"/>
    <w:tmpl w:val="90E63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0409000F">
      <w:start w:val="1"/>
      <w:numFmt w:val="decimal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D0B8A"/>
    <w:multiLevelType w:val="hybridMultilevel"/>
    <w:tmpl w:val="49A226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D983C34">
      <w:start w:val="1"/>
      <w:numFmt w:val="decimal"/>
      <w:lvlText w:val="%2."/>
      <w:lvlJc w:val="right"/>
      <w:pPr>
        <w:ind w:left="540" w:hanging="180"/>
      </w:pPr>
      <w:rPr>
        <w:rFonts w:asciiTheme="minorHAnsi" w:eastAsiaTheme="minorEastAsia" w:hAnsiTheme="minorHAnsi" w:cstheme="minorHAnsi"/>
      </w:rPr>
    </w:lvl>
    <w:lvl w:ilvl="2" w:tplc="3D983C34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EastAsia" w:hAnsiTheme="minorHAnsi" w:cstheme="minorHAnsi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D1232"/>
    <w:multiLevelType w:val="hybridMultilevel"/>
    <w:tmpl w:val="BEB83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FB7FA6"/>
    <w:multiLevelType w:val="hybridMultilevel"/>
    <w:tmpl w:val="8F623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287833">
    <w:abstractNumId w:val="19"/>
  </w:num>
  <w:num w:numId="2" w16cid:durableId="1258056244">
    <w:abstractNumId w:val="5"/>
  </w:num>
  <w:num w:numId="3" w16cid:durableId="444887604">
    <w:abstractNumId w:val="10"/>
  </w:num>
  <w:num w:numId="4" w16cid:durableId="135034539">
    <w:abstractNumId w:val="4"/>
  </w:num>
  <w:num w:numId="5" w16cid:durableId="1549024698">
    <w:abstractNumId w:val="7"/>
  </w:num>
  <w:num w:numId="6" w16cid:durableId="1228297839">
    <w:abstractNumId w:val="9"/>
  </w:num>
  <w:num w:numId="7" w16cid:durableId="952514649">
    <w:abstractNumId w:val="8"/>
  </w:num>
  <w:num w:numId="8" w16cid:durableId="1650789489">
    <w:abstractNumId w:val="2"/>
  </w:num>
  <w:num w:numId="9" w16cid:durableId="92475248">
    <w:abstractNumId w:val="1"/>
  </w:num>
  <w:num w:numId="10" w16cid:durableId="1793400248">
    <w:abstractNumId w:val="11"/>
  </w:num>
  <w:num w:numId="11" w16cid:durableId="772943230">
    <w:abstractNumId w:val="20"/>
  </w:num>
  <w:num w:numId="12" w16cid:durableId="1727412266">
    <w:abstractNumId w:val="18"/>
  </w:num>
  <w:num w:numId="13" w16cid:durableId="387192690">
    <w:abstractNumId w:val="0"/>
  </w:num>
  <w:num w:numId="14" w16cid:durableId="1885016887">
    <w:abstractNumId w:val="17"/>
  </w:num>
  <w:num w:numId="15" w16cid:durableId="1483235077">
    <w:abstractNumId w:val="3"/>
  </w:num>
  <w:num w:numId="16" w16cid:durableId="663506211">
    <w:abstractNumId w:val="15"/>
  </w:num>
  <w:num w:numId="17" w16cid:durableId="457645627">
    <w:abstractNumId w:val="16"/>
  </w:num>
  <w:num w:numId="18" w16cid:durableId="401829650">
    <w:abstractNumId w:val="13"/>
  </w:num>
  <w:num w:numId="19" w16cid:durableId="1731612361">
    <w:abstractNumId w:val="6"/>
  </w:num>
  <w:num w:numId="20" w16cid:durableId="1786535432">
    <w:abstractNumId w:val="12"/>
  </w:num>
  <w:num w:numId="21" w16cid:durableId="10450594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5DC"/>
    <w:rsid w:val="00091B38"/>
    <w:rsid w:val="000A235F"/>
    <w:rsid w:val="000F7D0B"/>
    <w:rsid w:val="001015CC"/>
    <w:rsid w:val="00182B60"/>
    <w:rsid w:val="001A6846"/>
    <w:rsid w:val="001C2FC0"/>
    <w:rsid w:val="001F4E35"/>
    <w:rsid w:val="002046D3"/>
    <w:rsid w:val="00250114"/>
    <w:rsid w:val="00282A81"/>
    <w:rsid w:val="002B47F2"/>
    <w:rsid w:val="00317FCA"/>
    <w:rsid w:val="00334918"/>
    <w:rsid w:val="003D5247"/>
    <w:rsid w:val="003E1850"/>
    <w:rsid w:val="003F0DE6"/>
    <w:rsid w:val="004277CB"/>
    <w:rsid w:val="00434E04"/>
    <w:rsid w:val="005034C2"/>
    <w:rsid w:val="00514BFC"/>
    <w:rsid w:val="00564C4B"/>
    <w:rsid w:val="005C5049"/>
    <w:rsid w:val="00605892"/>
    <w:rsid w:val="00614F8F"/>
    <w:rsid w:val="006358F1"/>
    <w:rsid w:val="006A3385"/>
    <w:rsid w:val="006B35D7"/>
    <w:rsid w:val="006D333C"/>
    <w:rsid w:val="00711C04"/>
    <w:rsid w:val="00717CD5"/>
    <w:rsid w:val="007905DB"/>
    <w:rsid w:val="0079163B"/>
    <w:rsid w:val="007A7D38"/>
    <w:rsid w:val="007B10D9"/>
    <w:rsid w:val="007C3C73"/>
    <w:rsid w:val="007D1597"/>
    <w:rsid w:val="00835591"/>
    <w:rsid w:val="00863C5C"/>
    <w:rsid w:val="008C5F0D"/>
    <w:rsid w:val="008D5E0C"/>
    <w:rsid w:val="009105E2"/>
    <w:rsid w:val="00953904"/>
    <w:rsid w:val="00967CF4"/>
    <w:rsid w:val="00992862"/>
    <w:rsid w:val="009F0B2C"/>
    <w:rsid w:val="009F6434"/>
    <w:rsid w:val="00A00A14"/>
    <w:rsid w:val="00A16F30"/>
    <w:rsid w:val="00A3702D"/>
    <w:rsid w:val="00A63ACE"/>
    <w:rsid w:val="00A63CB5"/>
    <w:rsid w:val="00A87842"/>
    <w:rsid w:val="00AA3C5A"/>
    <w:rsid w:val="00AB44E6"/>
    <w:rsid w:val="00B05D6E"/>
    <w:rsid w:val="00B229B7"/>
    <w:rsid w:val="00B36DE2"/>
    <w:rsid w:val="00B46608"/>
    <w:rsid w:val="00B56F93"/>
    <w:rsid w:val="00BB2204"/>
    <w:rsid w:val="00BE2510"/>
    <w:rsid w:val="00BF5621"/>
    <w:rsid w:val="00C04140"/>
    <w:rsid w:val="00C11138"/>
    <w:rsid w:val="00CC414C"/>
    <w:rsid w:val="00CE2035"/>
    <w:rsid w:val="00CE24D3"/>
    <w:rsid w:val="00CF27EF"/>
    <w:rsid w:val="00D4363D"/>
    <w:rsid w:val="00D630BA"/>
    <w:rsid w:val="00D8251D"/>
    <w:rsid w:val="00D90B69"/>
    <w:rsid w:val="00E10358"/>
    <w:rsid w:val="00EB03BE"/>
    <w:rsid w:val="00EF73BC"/>
    <w:rsid w:val="00F05B4D"/>
    <w:rsid w:val="00F258C5"/>
    <w:rsid w:val="00F9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1E71"/>
  <w15:chartTrackingRefBased/>
  <w15:docId w15:val="{E9CC20F9-BCF7-4E95-BA90-B730D46AD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F905DC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F905DC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F905DC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905DC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F905DC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F905DC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905DC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F905DC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F905DC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F905DC"/>
  </w:style>
  <w:style w:type="paragraph" w:styleId="BodyText">
    <w:name w:val="Body Text"/>
    <w:basedOn w:val="Normal"/>
    <w:link w:val="BodyTextChar"/>
    <w:uiPriority w:val="3"/>
    <w:qFormat/>
    <w:rsid w:val="00F905DC"/>
  </w:style>
  <w:style w:type="character" w:customStyle="1" w:styleId="BodyTextChar">
    <w:name w:val="Body Text Char"/>
    <w:basedOn w:val="DefaultParagraphFont"/>
    <w:link w:val="BodyText"/>
    <w:uiPriority w:val="3"/>
    <w:rsid w:val="00F905DC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F905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05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5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5DC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905DC"/>
    <w:pPr>
      <w:widowControl w:val="0"/>
      <w:autoSpaceDE w:val="0"/>
      <w:autoSpaceDN w:val="0"/>
      <w:spacing w:after="0"/>
      <w:ind w:left="619" w:hanging="360"/>
    </w:pPr>
    <w:rPr>
      <w:rFonts w:ascii="Tahoma" w:eastAsia="Tahoma" w:hAnsi="Tahoma" w:cs="Tahoma"/>
      <w:lang w:val="en-US" w:bidi="ar-SA"/>
    </w:rPr>
  </w:style>
  <w:style w:type="table" w:styleId="PlainTable1">
    <w:name w:val="Plain Table 1"/>
    <w:basedOn w:val="TableNormal"/>
    <w:uiPriority w:val="41"/>
    <w:rsid w:val="00F905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F905DC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3CB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63CB5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7916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63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F73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63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14BFC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BFC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customStyle="1" w:styleId="apple-converted-space">
    <w:name w:val="apple-converted-space"/>
    <w:basedOn w:val="DefaultParagraphFont"/>
    <w:rsid w:val="00835591"/>
  </w:style>
  <w:style w:type="paragraph" w:customStyle="1" w:styleId="CCFooter">
    <w:name w:val="CC Footer"/>
    <w:basedOn w:val="Normal"/>
    <w:uiPriority w:val="39"/>
    <w:rsid w:val="00D90B69"/>
    <w:pPr>
      <w:spacing w:after="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rdfighteria.info/v/GoQG6Tin-1E/" TargetMode="External"/><Relationship Id="rId13" Type="http://schemas.openxmlformats.org/officeDocument/2006/relationships/hyperlink" Target="https://insideclimatenews.org/news/01092022/california-just-banned-gas-powered-cars-heres-everything-you-need-to-know/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youtube.com/watch?v=GoQG6Tin-1E&amp;list=PL8dPuuaLjXtN07XYqqWSKpPrtNDiCHTzU&amp;index=4" TargetMode="External"/><Relationship Id="rId12" Type="http://schemas.openxmlformats.org/officeDocument/2006/relationships/hyperlink" Target="https://www.youtube.com/watch?v=QNv9PRDIhes" TargetMode="External"/><Relationship Id="rId17" Type="http://schemas.openxmlformats.org/officeDocument/2006/relationships/hyperlink" Target="https://www.oerproject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rageru.com/video/whats-the-deal-with-the-green-new-de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erproject.com/" TargetMode="External"/><Relationship Id="rId10" Type="http://schemas.openxmlformats.org/officeDocument/2006/relationships/hyperlink" Target="https://apnews.com/article/government-and-politics-technology-business-climate-summits-949962c299ab8792d82d0d0fef57b046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heartlanddailynews.com/2022/12/biden-administration-has-new-greenhouse-gas-goals-for-federal-buildings/" TargetMode="External"/><Relationship Id="rId14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 O’Connor</dc:creator>
  <cp:keywords/>
  <dc:description/>
  <cp:lastModifiedBy>Jay Heins</cp:lastModifiedBy>
  <cp:revision>5</cp:revision>
  <cp:lastPrinted>2023-11-15T16:12:00Z</cp:lastPrinted>
  <dcterms:created xsi:type="dcterms:W3CDTF">2023-11-15T16:13:00Z</dcterms:created>
  <dcterms:modified xsi:type="dcterms:W3CDTF">2023-11-18T01:53:00Z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2023-11-03T17:28:51Z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af55e1cf-0a42-4fa7-bbbd-caec4dfbc614</vt:lpwstr>
  </property>
  <property fmtid="{D5CDD505-2E9C-101B-9397-08002B2CF9AE}" pid="8" name="MSIP_Label_0c731a5a-986f-4cba-bdda-5f03e565899b_ContentBits">
    <vt:lpwstr>0</vt:lpwstr>
  </property>
</Properties>
</file>