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B381" w14:textId="77777777" w:rsidR="00697515" w:rsidRPr="00CD0494" w:rsidRDefault="00697515" w:rsidP="008F17D0">
      <w:pPr>
        <w:pStyle w:val="Heading2"/>
        <w:spacing w:before="0"/>
      </w:pPr>
      <w:r w:rsidRPr="00CD0494">
        <w:t>Purpose</w:t>
      </w:r>
    </w:p>
    <w:p w14:paraId="0300406C" w14:textId="3AEA25F3" w:rsidR="00142D33" w:rsidRPr="00EA5E20" w:rsidRDefault="001F111F" w:rsidP="001F111F">
      <w:pPr>
        <w:spacing w:after="0"/>
        <w:rPr>
          <w:rFonts w:ascii="Calibri" w:eastAsia="Times New Roman" w:hAnsi="Calibri" w:cs="Calibri"/>
          <w:color w:val="000000" w:themeColor="text1"/>
          <w:lang w:val="en-US" w:bidi="ar-SA"/>
        </w:rPr>
      </w:pPr>
      <w:r w:rsidRPr="001F111F">
        <w:rPr>
          <w:rFonts w:ascii="Calibri" w:eastAsia="Times New Roman" w:hAnsi="Calibri" w:cs="Calibri"/>
          <w:color w:val="000000" w:themeColor="text1"/>
          <w:lang w:val="en-US" w:bidi="ar-SA"/>
        </w:rPr>
        <w:t xml:space="preserve">There are many creative and effective climate solutions, but how do we put them into place? </w:t>
      </w:r>
      <w:r>
        <w:rPr>
          <w:rFonts w:ascii="Calibri" w:eastAsia="Times New Roman" w:hAnsi="Calibri" w:cs="Calibri"/>
          <w:color w:val="000000" w:themeColor="text1"/>
          <w:lang w:val="en-US" w:bidi="ar-SA"/>
        </w:rPr>
        <w:t>This activity will help you look at how a climate solution can be implemented through different levers of power</w:t>
      </w:r>
      <w:r w:rsidR="00854D14">
        <w:rPr>
          <w:rFonts w:ascii="Calibri" w:eastAsia="Times New Roman" w:hAnsi="Calibri" w:cs="Calibri"/>
          <w:color w:val="000000" w:themeColor="text1"/>
          <w:lang w:val="en-US" w:bidi="ar-SA"/>
        </w:rPr>
        <w:t xml:space="preserve">: </w:t>
      </w:r>
      <w:r w:rsidR="00854D14">
        <w:t>individual, business, and government</w:t>
      </w:r>
      <w:r>
        <w:rPr>
          <w:rFonts w:ascii="Calibri" w:eastAsia="Times New Roman" w:hAnsi="Calibri" w:cs="Calibri"/>
          <w:color w:val="000000" w:themeColor="text1"/>
          <w:lang w:val="en-US" w:bidi="ar-SA"/>
        </w:rPr>
        <w:t xml:space="preserve">. </w:t>
      </w:r>
    </w:p>
    <w:p w14:paraId="3BB419B8" w14:textId="77777777" w:rsidR="00697515" w:rsidRDefault="00697515" w:rsidP="008F17D0">
      <w:pPr>
        <w:pStyle w:val="Heading2"/>
        <w:spacing w:before="120"/>
      </w:pPr>
      <w:r w:rsidRPr="00CD0494">
        <w:t>Process</w:t>
      </w:r>
    </w:p>
    <w:p w14:paraId="1E5620E2" w14:textId="43BEA7A1" w:rsidR="005900A2" w:rsidRPr="00DB5D1E" w:rsidRDefault="005900A2" w:rsidP="005C233D">
      <w:pPr>
        <w:pStyle w:val="BodyText"/>
        <w:spacing w:after="120"/>
        <w:rPr>
          <w:i/>
          <w:iCs/>
        </w:rPr>
      </w:pPr>
      <w:r w:rsidRPr="00DB5D1E">
        <w:rPr>
          <w:i/>
          <w:iCs/>
        </w:rPr>
        <w:t xml:space="preserve">(Note: this may look </w:t>
      </w:r>
      <w:proofErr w:type="gramStart"/>
      <w:r w:rsidRPr="00DB5D1E">
        <w:rPr>
          <w:i/>
          <w:iCs/>
        </w:rPr>
        <w:t>similar to</w:t>
      </w:r>
      <w:proofErr w:type="gramEnd"/>
      <w:r w:rsidRPr="00DB5D1E">
        <w:rPr>
          <w:i/>
          <w:iCs/>
        </w:rPr>
        <w:t xml:space="preserve"> an opener you’ve already done. That’s </w:t>
      </w:r>
      <w:r w:rsidR="003912AE">
        <w:rPr>
          <w:i/>
          <w:iCs/>
        </w:rPr>
        <w:t>OK</w:t>
      </w:r>
      <w:r w:rsidRPr="00DB5D1E">
        <w:rPr>
          <w:i/>
          <w:iCs/>
        </w:rPr>
        <w:t xml:space="preserve">! Not only do you know more now, </w:t>
      </w:r>
      <w:proofErr w:type="gramStart"/>
      <w:r w:rsidRPr="00DB5D1E">
        <w:rPr>
          <w:i/>
          <w:iCs/>
        </w:rPr>
        <w:t>we’re</w:t>
      </w:r>
      <w:proofErr w:type="gramEnd"/>
      <w:r w:rsidRPr="00DB5D1E">
        <w:rPr>
          <w:i/>
          <w:iCs/>
        </w:rPr>
        <w:t xml:space="preserve"> going to ask you to take this </w:t>
      </w:r>
      <w:r w:rsidR="003912AE">
        <w:rPr>
          <w:i/>
          <w:iCs/>
        </w:rPr>
        <w:t xml:space="preserve">activity </w:t>
      </w:r>
      <w:r w:rsidRPr="00DB5D1E">
        <w:rPr>
          <w:i/>
          <w:iCs/>
        </w:rPr>
        <w:t>one step further.)</w:t>
      </w:r>
    </w:p>
    <w:p w14:paraId="0DD71A79" w14:textId="07EB5CE3" w:rsidR="00854D14" w:rsidRDefault="00854D14" w:rsidP="005C233D">
      <w:pPr>
        <w:pStyle w:val="BodyText"/>
        <w:numPr>
          <w:ilvl w:val="0"/>
          <w:numId w:val="3"/>
        </w:numPr>
        <w:spacing w:after="120"/>
      </w:pPr>
      <w:r>
        <w:t>Read the list of potential actions to support climate solutions in the left-hand column.</w:t>
      </w:r>
    </w:p>
    <w:p w14:paraId="233E8BFD" w14:textId="319FC9D1" w:rsidR="005E5270" w:rsidRDefault="00854D14" w:rsidP="008F17D0">
      <w:pPr>
        <w:pStyle w:val="BodyText"/>
        <w:numPr>
          <w:ilvl w:val="0"/>
          <w:numId w:val="3"/>
        </w:numPr>
        <w:spacing w:after="120"/>
        <w:ind w:left="357" w:hanging="357"/>
      </w:pPr>
      <w:r>
        <w:t>Match each of these solutions to the groups (levers of power) that can best support them: individuals, government, or businesses. Draw a line to connect solutions to the correct lever or levers—some actions might fit more than one!</w:t>
      </w:r>
    </w:p>
    <w:tbl>
      <w:tblPr>
        <w:tblStyle w:val="TableGrid"/>
        <w:tblW w:w="0" w:type="auto"/>
        <w:tblInd w:w="421" w:type="dxa"/>
        <w:tblCellMar>
          <w:top w:w="113" w:type="dxa"/>
          <w:left w:w="113" w:type="dxa"/>
          <w:bottom w:w="113" w:type="dxa"/>
          <w:right w:w="57" w:type="dxa"/>
        </w:tblCellMar>
        <w:tblLook w:val="04A0" w:firstRow="1" w:lastRow="0" w:firstColumn="1" w:lastColumn="0" w:noHBand="0" w:noVBand="1"/>
      </w:tblPr>
      <w:tblGrid>
        <w:gridCol w:w="3827"/>
        <w:gridCol w:w="1843"/>
        <w:gridCol w:w="3259"/>
      </w:tblGrid>
      <w:tr w:rsidR="005C233D" w14:paraId="382890CA" w14:textId="77777777" w:rsidTr="005C233D">
        <w:trPr>
          <w:trHeight w:val="579"/>
        </w:trPr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5D7F" w14:textId="77777777" w:rsidR="005C233D" w:rsidRDefault="005C233D" w:rsidP="00A020B6">
            <w:pPr>
              <w:pStyle w:val="BodyText"/>
              <w:spacing w:after="0"/>
            </w:pPr>
            <w:r w:rsidRPr="005E30FB">
              <w:t>Advocate for policies that support climate innovation by writing or calling an elected official.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5CB35F" w14:textId="77777777" w:rsidR="005C233D" w:rsidRDefault="005C233D" w:rsidP="00A020B6">
            <w:pPr>
              <w:pStyle w:val="BodyText"/>
              <w:spacing w:after="0"/>
            </w:pP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59FC16" w14:textId="77777777" w:rsidR="005C233D" w:rsidRDefault="005C233D" w:rsidP="00A020B6">
            <w:pPr>
              <w:pStyle w:val="BodyText"/>
              <w:spacing w:after="0"/>
            </w:pPr>
          </w:p>
        </w:tc>
      </w:tr>
      <w:tr w:rsidR="005C233D" w14:paraId="0B272EDE" w14:textId="77777777" w:rsidTr="005C233D"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76316" w14:textId="77777777" w:rsidR="005C233D" w:rsidRDefault="005C233D" w:rsidP="005C233D">
            <w:pPr>
              <w:pStyle w:val="BodyText"/>
              <w:spacing w:after="0"/>
            </w:pPr>
            <w:r w:rsidRPr="005E30FB">
              <w:t>Use purchasing power to drive demand for low- or zero-carbon products.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B10454" w14:textId="77777777" w:rsidR="005C233D" w:rsidRDefault="005C233D" w:rsidP="005C233D">
            <w:pPr>
              <w:pStyle w:val="BodyText"/>
              <w:spacing w:after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FFF358" w14:textId="3E3B26D0" w:rsidR="005C233D" w:rsidRDefault="005C233D" w:rsidP="005C233D">
            <w:pPr>
              <w:pStyle w:val="BodyText"/>
              <w:spacing w:after="0"/>
            </w:pPr>
            <w:r w:rsidRPr="00C443EB">
              <w:t>Individuals</w:t>
            </w:r>
          </w:p>
        </w:tc>
      </w:tr>
      <w:tr w:rsidR="005C233D" w14:paraId="3BB3768A" w14:textId="77777777" w:rsidTr="005C233D"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3DC174" w14:textId="77777777" w:rsidR="005C233D" w:rsidRDefault="005C233D" w:rsidP="005C233D">
            <w:pPr>
              <w:pStyle w:val="BodyText"/>
              <w:spacing w:after="0"/>
            </w:pPr>
            <w:r w:rsidRPr="005E30FB">
              <w:t>Pass legislation that provides funding for the research and development of new technologies.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371EE" w14:textId="77777777" w:rsidR="005C233D" w:rsidRDefault="005C233D" w:rsidP="005C233D">
            <w:pPr>
              <w:pStyle w:val="BodyText"/>
              <w:spacing w:after="0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DA69BCA" w14:textId="61154D98" w:rsidR="005C233D" w:rsidRDefault="005C233D" w:rsidP="005C233D">
            <w:pPr>
              <w:pStyle w:val="BodyText"/>
              <w:spacing w:after="0"/>
            </w:pPr>
            <w:r w:rsidRPr="00C443EB">
              <w:t>Governments</w:t>
            </w:r>
          </w:p>
        </w:tc>
      </w:tr>
      <w:tr w:rsidR="005C233D" w14:paraId="2A879C31" w14:textId="77777777" w:rsidTr="005C233D">
        <w:trPr>
          <w:trHeight w:val="563"/>
        </w:trPr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D76405" w14:textId="77777777" w:rsidR="005C233D" w:rsidRDefault="005C233D" w:rsidP="005C233D">
            <w:pPr>
              <w:pStyle w:val="BodyText"/>
              <w:spacing w:after="0"/>
            </w:pPr>
            <w:r w:rsidRPr="005E30FB">
              <w:t>Prioritize developing innovation in low- or zero-carbon technologies.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5167D" w14:textId="77777777" w:rsidR="005C233D" w:rsidRDefault="005C233D" w:rsidP="005C233D">
            <w:pPr>
              <w:pStyle w:val="BodyText"/>
              <w:spacing w:after="0"/>
            </w:pP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DCB139" w14:textId="2847F9D0" w:rsidR="005C233D" w:rsidRDefault="005C233D" w:rsidP="005C233D">
            <w:pPr>
              <w:pStyle w:val="BodyText"/>
              <w:spacing w:after="0"/>
            </w:pPr>
            <w:r w:rsidRPr="00C443EB">
              <w:t>Businesses</w:t>
            </w:r>
          </w:p>
        </w:tc>
      </w:tr>
      <w:tr w:rsidR="005C233D" w14:paraId="27FBD1D5" w14:textId="77777777" w:rsidTr="005C233D">
        <w:trPr>
          <w:trHeight w:val="308"/>
        </w:trPr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FDE64" w14:textId="77777777" w:rsidR="005C233D" w:rsidRDefault="005C233D" w:rsidP="00A020B6">
            <w:pPr>
              <w:pStyle w:val="BodyText"/>
              <w:spacing w:after="0"/>
            </w:pPr>
            <w:r w:rsidRPr="005E30FB">
              <w:t>Set standards for clean electricity, fuel, and products.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836CF5" w14:textId="77777777" w:rsidR="005C233D" w:rsidRDefault="005C233D" w:rsidP="00A020B6">
            <w:pPr>
              <w:pStyle w:val="BodyText"/>
              <w:spacing w:after="0"/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F7C98B" w14:textId="08E5847F" w:rsidR="005C233D" w:rsidRDefault="005C233D" w:rsidP="00A020B6">
            <w:pPr>
              <w:pStyle w:val="BodyText"/>
              <w:spacing w:after="0"/>
            </w:pPr>
          </w:p>
        </w:tc>
      </w:tr>
      <w:tr w:rsidR="005C233D" w14:paraId="396FD018" w14:textId="77777777" w:rsidTr="005C233D">
        <w:tc>
          <w:tcPr>
            <w:tcW w:w="382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DA748" w14:textId="77777777" w:rsidR="005C233D" w:rsidRDefault="005C233D" w:rsidP="00A020B6">
            <w:pPr>
              <w:pStyle w:val="BodyText"/>
              <w:spacing w:after="0"/>
            </w:pPr>
            <w:r w:rsidRPr="005E30FB">
              <w:t>Run for public office.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F732E5" w14:textId="77777777" w:rsidR="005C233D" w:rsidRDefault="005C233D" w:rsidP="00A020B6">
            <w:pPr>
              <w:pStyle w:val="BodyText"/>
              <w:spacing w:after="0"/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686ECF" w14:textId="77777777" w:rsidR="005C233D" w:rsidRDefault="005C233D" w:rsidP="00A020B6">
            <w:pPr>
              <w:pStyle w:val="BodyText"/>
              <w:spacing w:after="0"/>
            </w:pPr>
          </w:p>
        </w:tc>
      </w:tr>
    </w:tbl>
    <w:p w14:paraId="1088ECB5" w14:textId="0AE06B15" w:rsidR="005C233D" w:rsidRDefault="005C233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A9512" wp14:editId="2FB7FF97">
                <wp:simplePos x="0" y="0"/>
                <wp:positionH relativeFrom="column">
                  <wp:posOffset>-858520</wp:posOffset>
                </wp:positionH>
                <wp:positionV relativeFrom="page">
                  <wp:posOffset>9449435</wp:posOffset>
                </wp:positionV>
                <wp:extent cx="7627620" cy="341630"/>
                <wp:effectExtent l="0" t="0" r="0" b="0"/>
                <wp:wrapNone/>
                <wp:docPr id="6973502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762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15BC65" w14:textId="20728406" w:rsidR="005C233D" w:rsidRPr="005C233D" w:rsidRDefault="005C233D" w:rsidP="005C233D">
                            <w:pPr>
                              <w:pStyle w:val="CCFooter"/>
                              <w:rPr>
                                <w:color w:val="A6A6A6" w:themeColor="background1" w:themeShade="A6"/>
                              </w:rPr>
                            </w:pPr>
                            <w:r w:rsidRPr="005C233D">
                              <w:rPr>
                                <w:color w:val="A6A6A6" w:themeColor="background1" w:themeShade="A6"/>
                              </w:rPr>
                              <w:t xml:space="preserve">Unless otherwise noted, this work is licensed under </w:t>
                            </w:r>
                            <w:hyperlink r:id="rId7" w:history="1">
                              <w:r w:rsidRPr="005C233D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CC BY 4.0</w:t>
                              </w:r>
                            </w:hyperlink>
                            <w:r w:rsidRPr="005C233D">
                              <w:rPr>
                                <w:color w:val="A6A6A6" w:themeColor="background1" w:themeShade="A6"/>
                              </w:rPr>
                              <w:t xml:space="preserve">. Credit: “Opener–Implementing Climate Solutions”, OER Project, </w:t>
                            </w:r>
                            <w:hyperlink r:id="rId8" w:history="1">
                              <w:r w:rsidRPr="005C233D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A95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7.6pt;margin-top:744.05pt;width:600.6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" filled="f" stroked="f" strokeweight=".5pt">
                <v:textbox>
                  <w:txbxContent>
                    <w:p w14:paraId="2815BC65" w14:textId="20728406" w:rsidR="005C233D" w:rsidRPr="005C233D" w:rsidRDefault="005C233D" w:rsidP="005C233D">
                      <w:pPr>
                        <w:pStyle w:val="CCFooter"/>
                        <w:rPr>
                          <w:color w:val="A6A6A6" w:themeColor="background1" w:themeShade="A6"/>
                        </w:rPr>
                      </w:pPr>
                      <w:r w:rsidRPr="005C233D">
                        <w:rPr>
                          <w:color w:val="A6A6A6" w:themeColor="background1" w:themeShade="A6"/>
                        </w:rPr>
                        <w:t xml:space="preserve">Unless otherwise noted, this work is licensed under </w:t>
                      </w:r>
                      <w:hyperlink r:id="rId9" w:history="1">
                        <w:r w:rsidRPr="005C233D">
                          <w:rPr>
                            <w:rStyle w:val="Hyperlink"/>
                            <w:color w:val="A6A6A6" w:themeColor="background1" w:themeShade="A6"/>
                          </w:rPr>
                          <w:t>CC BY 4.0</w:t>
                        </w:r>
                      </w:hyperlink>
                      <w:r w:rsidRPr="005C233D">
                        <w:rPr>
                          <w:color w:val="A6A6A6" w:themeColor="background1" w:themeShade="A6"/>
                        </w:rPr>
                        <w:t>. Credit: “</w:t>
                      </w:r>
                      <w:r w:rsidRPr="005C233D">
                        <w:rPr>
                          <w:color w:val="A6A6A6" w:themeColor="background1" w:themeShade="A6"/>
                        </w:rPr>
                        <w:t>Opener</w:t>
                      </w:r>
                      <w:r w:rsidRPr="005C233D">
                        <w:rPr>
                          <w:color w:val="A6A6A6" w:themeColor="background1" w:themeShade="A6"/>
                        </w:rPr>
                        <w:t>–</w:t>
                      </w:r>
                      <w:r w:rsidRPr="005C233D">
                        <w:rPr>
                          <w:color w:val="A6A6A6" w:themeColor="background1" w:themeShade="A6"/>
                        </w:rPr>
                        <w:t>Implementing Climate Solutions</w:t>
                      </w:r>
                      <w:r w:rsidRPr="005C233D">
                        <w:rPr>
                          <w:color w:val="A6A6A6" w:themeColor="background1" w:themeShade="A6"/>
                        </w:rPr>
                        <w:t xml:space="preserve">”, OER Project, </w:t>
                      </w:r>
                      <w:hyperlink r:id="rId10" w:history="1">
                        <w:r w:rsidRPr="005C233D">
                          <w:rPr>
                            <w:rStyle w:val="Hyperlink"/>
                            <w:color w:val="A6A6A6" w:themeColor="background1" w:themeShade="A6"/>
                          </w:rPr>
                          <w:t>https://www.oerproject.com/</w:t>
                        </w:r>
                      </w:hyperlink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8C012E9" w14:textId="53EB9A3D" w:rsidR="005900A2" w:rsidRDefault="005900A2" w:rsidP="008F17D0">
      <w:pPr>
        <w:pStyle w:val="BodyText"/>
        <w:numPr>
          <w:ilvl w:val="0"/>
          <w:numId w:val="3"/>
        </w:numPr>
        <w:spacing w:after="0"/>
        <w:ind w:left="357" w:hanging="357"/>
      </w:pPr>
      <w:r>
        <w:t>Then, add another possible action at each lever of power. If you’re not sure, make your best guess using what you already know about climate change.</w:t>
      </w:r>
    </w:p>
    <w:p w14:paraId="014D7F37" w14:textId="77777777" w:rsidR="005C233D" w:rsidRDefault="005900A2" w:rsidP="008F17D0">
      <w:pPr>
        <w:pStyle w:val="BodyText"/>
        <w:spacing w:after="0"/>
        <w:ind w:left="357"/>
      </w:pPr>
      <w:r>
        <w:t>Individuals: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C233D" w14:paraId="0B01BF58" w14:textId="77777777" w:rsidTr="008F17D0">
        <w:trPr>
          <w:trHeight w:val="604"/>
        </w:trPr>
        <w:tc>
          <w:tcPr>
            <w:tcW w:w="9350" w:type="dxa"/>
            <w:shd w:val="clear" w:color="auto" w:fill="F2F2F2" w:themeFill="background1" w:themeFillShade="F2"/>
          </w:tcPr>
          <w:p w14:paraId="151613C9" w14:textId="77777777" w:rsidR="005C233D" w:rsidRDefault="005C233D" w:rsidP="008F17D0">
            <w:pPr>
              <w:pStyle w:val="BodyText"/>
              <w:spacing w:after="0"/>
            </w:pPr>
          </w:p>
        </w:tc>
      </w:tr>
    </w:tbl>
    <w:p w14:paraId="364BE60C" w14:textId="333CA330" w:rsidR="005900A2" w:rsidRDefault="005900A2" w:rsidP="008F17D0">
      <w:pPr>
        <w:pStyle w:val="BodyText"/>
        <w:spacing w:after="0"/>
        <w:ind w:left="357"/>
      </w:pPr>
      <w:r>
        <w:t>Government: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C233D" w14:paraId="0B688952" w14:textId="77777777" w:rsidTr="008F17D0">
        <w:trPr>
          <w:trHeight w:val="627"/>
        </w:trPr>
        <w:tc>
          <w:tcPr>
            <w:tcW w:w="8990" w:type="dxa"/>
            <w:shd w:val="clear" w:color="auto" w:fill="F2F2F2" w:themeFill="background1" w:themeFillShade="F2"/>
          </w:tcPr>
          <w:p w14:paraId="45488D7B" w14:textId="77777777" w:rsidR="005C233D" w:rsidRDefault="005C233D" w:rsidP="008F17D0">
            <w:pPr>
              <w:pStyle w:val="BodyText"/>
              <w:spacing w:after="0"/>
            </w:pPr>
          </w:p>
        </w:tc>
      </w:tr>
    </w:tbl>
    <w:p w14:paraId="001731B8" w14:textId="77777777" w:rsidR="00854D14" w:rsidRDefault="005900A2" w:rsidP="008F17D0">
      <w:pPr>
        <w:pStyle w:val="BodyText"/>
        <w:spacing w:after="0"/>
        <w:ind w:left="357"/>
      </w:pPr>
      <w:r>
        <w:t>Businesses: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5C233D" w14:paraId="42799202" w14:textId="77777777" w:rsidTr="008F17D0">
        <w:trPr>
          <w:trHeight w:val="630"/>
        </w:trPr>
        <w:tc>
          <w:tcPr>
            <w:tcW w:w="8990" w:type="dxa"/>
            <w:shd w:val="clear" w:color="auto" w:fill="F2F2F2" w:themeFill="background1" w:themeFillShade="F2"/>
          </w:tcPr>
          <w:p w14:paraId="475C7ECE" w14:textId="77777777" w:rsidR="005C233D" w:rsidRDefault="005C233D" w:rsidP="008F17D0">
            <w:pPr>
              <w:pStyle w:val="BodyText"/>
              <w:spacing w:after="0"/>
            </w:pPr>
          </w:p>
        </w:tc>
      </w:tr>
    </w:tbl>
    <w:p w14:paraId="4B75D5DB" w14:textId="434DA0C8" w:rsidR="005C233D" w:rsidRDefault="005C233D" w:rsidP="008F17D0">
      <w:pPr>
        <w:pStyle w:val="BodyText"/>
        <w:spacing w:after="0"/>
        <w:sectPr w:rsidR="005C233D" w:rsidSect="00E55C5D">
          <w:headerReference w:type="default" r:id="rId11"/>
          <w:footerReference w:type="default" r:id="rId12"/>
          <w:pgSz w:w="12240" w:h="15840"/>
          <w:pgMar w:top="1740" w:right="1440" w:bottom="1242" w:left="1440" w:header="720" w:footer="188" w:gutter="0"/>
          <w:cols w:space="720"/>
          <w:docGrid w:linePitch="360"/>
        </w:sectPr>
      </w:pPr>
    </w:p>
    <w:p w14:paraId="029A1099" w14:textId="77777777" w:rsidR="00854D14" w:rsidRDefault="00854D14" w:rsidP="008F17D0">
      <w:pPr>
        <w:pStyle w:val="BodyText"/>
        <w:spacing w:after="0"/>
        <w:sectPr w:rsidR="00854D14" w:rsidSect="00E55C5D">
          <w:type w:val="continuous"/>
          <w:pgSz w:w="12240" w:h="15840"/>
          <w:pgMar w:top="1544" w:right="1440" w:bottom="1033" w:left="1440" w:header="720" w:footer="188" w:gutter="0"/>
          <w:cols w:num="2" w:space="720"/>
          <w:docGrid w:linePitch="360"/>
        </w:sectPr>
      </w:pPr>
    </w:p>
    <w:p w14:paraId="3EE970D8" w14:textId="3D71E5DE" w:rsidR="00623EDB" w:rsidRDefault="00623EDB" w:rsidP="008F17D0">
      <w:pPr>
        <w:pStyle w:val="BodyText"/>
        <w:spacing w:after="0"/>
      </w:pPr>
    </w:p>
    <w:sectPr w:rsidR="00623EDB" w:rsidSect="00E55C5D">
      <w:type w:val="continuous"/>
      <w:pgSz w:w="12240" w:h="15840"/>
      <w:pgMar w:top="2168" w:right="1440" w:bottom="1440" w:left="1440" w:header="720" w:footer="3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7A3A8" w14:textId="77777777" w:rsidR="00E55C5D" w:rsidRDefault="00E55C5D" w:rsidP="00697515">
      <w:pPr>
        <w:spacing w:after="0"/>
      </w:pPr>
      <w:r>
        <w:separator/>
      </w:r>
    </w:p>
  </w:endnote>
  <w:endnote w:type="continuationSeparator" w:id="0">
    <w:p w14:paraId="2D0DC4F4" w14:textId="77777777" w:rsidR="00E55C5D" w:rsidRDefault="00E55C5D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B9543" w14:textId="3BA4AAFC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480A1630" w14:textId="321425C2" w:rsidR="00746C55" w:rsidRDefault="007B1998">
    <w:r>
      <w:rPr>
        <w:noProof/>
      </w:rPr>
      <w:drawing>
        <wp:anchor distT="0" distB="0" distL="114300" distR="114300" simplePos="0" relativeHeight="251660288" behindDoc="1" locked="0" layoutInCell="1" allowOverlap="1" wp14:anchorId="3ACEF581" wp14:editId="30AD3ADE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536854428" name="Picture 536854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A9DEE" w14:textId="77777777" w:rsidR="00E55C5D" w:rsidRDefault="00E55C5D" w:rsidP="00697515">
      <w:pPr>
        <w:spacing w:after="0"/>
      </w:pPr>
      <w:r>
        <w:separator/>
      </w:r>
    </w:p>
  </w:footnote>
  <w:footnote w:type="continuationSeparator" w:id="0">
    <w:p w14:paraId="00D9006B" w14:textId="77777777" w:rsidR="00E55C5D" w:rsidRDefault="00E55C5D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7F5A" w14:textId="39971423" w:rsidR="00746C55" w:rsidRPr="00F65964" w:rsidRDefault="007B1998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C006386" wp14:editId="721E7436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F8E741" id="Rectangle 5" o:spid="_x0000_s1026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" fillcolor="#d8d8d8 [2732]" stroked="f" strokeweight="1pt">
              <w10:wrap anchorx="margin" anchory="page"/>
            </v:rect>
          </w:pict>
        </mc:Fallback>
      </mc:AlternateContent>
    </w:r>
    <w:r w:rsidRPr="00F65964">
      <w:t xml:space="preserve">CLIMATE PROJECT / </w:t>
    </w:r>
    <w:r w:rsidR="00DB5D1E">
      <w:t>UNIT 4</w:t>
    </w:r>
  </w:p>
  <w:p w14:paraId="1379513A" w14:textId="6A5AB8E2" w:rsidR="00456616" w:rsidRPr="00456616" w:rsidRDefault="00142D33" w:rsidP="00456616">
    <w:pPr>
      <w:pStyle w:val="Title"/>
    </w:pPr>
    <w:r>
      <w:t>OPEN</w:t>
    </w:r>
    <w:r w:rsidR="007B1998">
      <w:t>ER</w:t>
    </w:r>
    <w:r w:rsidR="007B1998" w:rsidRPr="00CD0494">
      <w:t>—</w:t>
    </w:r>
    <w:r w:rsidR="009D2919">
      <w:t>IMPLEMENTING CLIMATE SOLUTIONS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84C"/>
    <w:multiLevelType w:val="hybridMultilevel"/>
    <w:tmpl w:val="D5A6022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A6ED8"/>
    <w:multiLevelType w:val="hybridMultilevel"/>
    <w:tmpl w:val="F056C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125E4"/>
    <w:multiLevelType w:val="hybridMultilevel"/>
    <w:tmpl w:val="AFB41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6D41C8"/>
    <w:multiLevelType w:val="hybridMultilevel"/>
    <w:tmpl w:val="D4B25150"/>
    <w:lvl w:ilvl="0" w:tplc="7C6A7DD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F1783E"/>
    <w:multiLevelType w:val="multilevel"/>
    <w:tmpl w:val="7948549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1544095137">
    <w:abstractNumId w:val="1"/>
  </w:num>
  <w:num w:numId="2" w16cid:durableId="1142120617">
    <w:abstractNumId w:val="4"/>
  </w:num>
  <w:num w:numId="3" w16cid:durableId="387144938">
    <w:abstractNumId w:val="3"/>
  </w:num>
  <w:num w:numId="4" w16cid:durableId="228730774">
    <w:abstractNumId w:val="2"/>
  </w:num>
  <w:num w:numId="5" w16cid:durableId="193292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11F"/>
    <w:rsid w:val="00044D61"/>
    <w:rsid w:val="00142D33"/>
    <w:rsid w:val="00177F1D"/>
    <w:rsid w:val="00197312"/>
    <w:rsid w:val="001C3D81"/>
    <w:rsid w:val="001D2F1A"/>
    <w:rsid w:val="001F111F"/>
    <w:rsid w:val="00204B87"/>
    <w:rsid w:val="00273460"/>
    <w:rsid w:val="00293068"/>
    <w:rsid w:val="002F1A0D"/>
    <w:rsid w:val="00371351"/>
    <w:rsid w:val="003912AE"/>
    <w:rsid w:val="003B75EE"/>
    <w:rsid w:val="00415402"/>
    <w:rsid w:val="00456616"/>
    <w:rsid w:val="00497B97"/>
    <w:rsid w:val="004E4E92"/>
    <w:rsid w:val="005900A2"/>
    <w:rsid w:val="005C233D"/>
    <w:rsid w:val="005C4685"/>
    <w:rsid w:val="005D1547"/>
    <w:rsid w:val="005E5270"/>
    <w:rsid w:val="00623EDB"/>
    <w:rsid w:val="006427FA"/>
    <w:rsid w:val="00697515"/>
    <w:rsid w:val="006D52CA"/>
    <w:rsid w:val="00746C55"/>
    <w:rsid w:val="007B1998"/>
    <w:rsid w:val="007E1295"/>
    <w:rsid w:val="00854D14"/>
    <w:rsid w:val="008A0B18"/>
    <w:rsid w:val="008F17D0"/>
    <w:rsid w:val="0090113A"/>
    <w:rsid w:val="009D2919"/>
    <w:rsid w:val="00A011AF"/>
    <w:rsid w:val="00A272B5"/>
    <w:rsid w:val="00AA42D5"/>
    <w:rsid w:val="00AC4622"/>
    <w:rsid w:val="00BD2B62"/>
    <w:rsid w:val="00C26DE2"/>
    <w:rsid w:val="00C41099"/>
    <w:rsid w:val="00CC0663"/>
    <w:rsid w:val="00D21BC9"/>
    <w:rsid w:val="00D47E5A"/>
    <w:rsid w:val="00D616C5"/>
    <w:rsid w:val="00DB5D1E"/>
    <w:rsid w:val="00DF7ED0"/>
    <w:rsid w:val="00E325D8"/>
    <w:rsid w:val="00E33E83"/>
    <w:rsid w:val="00E55C5D"/>
    <w:rsid w:val="00EA5E20"/>
    <w:rsid w:val="00EB018E"/>
    <w:rsid w:val="00EC0C71"/>
    <w:rsid w:val="00F25408"/>
    <w:rsid w:val="00F33374"/>
    <w:rsid w:val="00FC68C3"/>
    <w:rsid w:val="00FD27F9"/>
    <w:rsid w:val="00FD7B7E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F7BD0"/>
  <w15:chartTrackingRefBased/>
  <w15:docId w15:val="{50503D8A-F49C-0C4C-93A2-C565405C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paragraph" w:styleId="ListParagraph">
    <w:name w:val="List Paragraph"/>
    <w:basedOn w:val="Normal"/>
    <w:uiPriority w:val="34"/>
    <w:qFormat/>
    <w:rsid w:val="00142D33"/>
    <w:pPr>
      <w:spacing w:after="160" w:line="259" w:lineRule="auto"/>
      <w:ind w:left="720"/>
      <w:contextualSpacing/>
    </w:pPr>
    <w:rPr>
      <w:rFonts w:eastAsiaTheme="minorHAnsi" w:cstheme="minorBidi"/>
      <w:kern w:val="2"/>
      <w:lang w:val="en-US" w:bidi="ar-SA"/>
      <w14:ligatures w14:val="standardContextual"/>
    </w:rPr>
  </w:style>
  <w:style w:type="table" w:styleId="TableGrid">
    <w:name w:val="Table Grid"/>
    <w:basedOn w:val="TableNormal"/>
    <w:uiPriority w:val="39"/>
    <w:rsid w:val="001F1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rproject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oerprojec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Jay Heins</cp:lastModifiedBy>
  <cp:revision>5</cp:revision>
  <dcterms:created xsi:type="dcterms:W3CDTF">2024-01-31T20:12:00Z</dcterms:created>
  <dcterms:modified xsi:type="dcterms:W3CDTF">2024-02-02T19:35:00Z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