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3A33" w14:textId="77777777" w:rsidR="00697515" w:rsidRPr="00CD0494" w:rsidRDefault="00697515" w:rsidP="00C04CF2">
      <w:pPr>
        <w:pStyle w:val="Heading2"/>
        <w:spacing w:before="240"/>
      </w:pPr>
      <w:r w:rsidRPr="00CD0494">
        <w:t>Purpose</w:t>
      </w:r>
    </w:p>
    <w:p w14:paraId="7FC7905D" w14:textId="509877A4" w:rsidR="00142D33" w:rsidRPr="00EA5B2D" w:rsidRDefault="00EA5B2D" w:rsidP="00EA5E20">
      <w:pPr>
        <w:spacing w:after="0"/>
        <w:rPr>
          <w:rFonts w:ascii="Calibri" w:eastAsia="Times New Roman" w:hAnsi="Calibri" w:cs="Calibri"/>
          <w:color w:val="000000" w:themeColor="text1"/>
          <w:lang w:val="en-US" w:bidi="ar-SA"/>
        </w:rPr>
      </w:pPr>
      <w:r>
        <w:t>This activity will help you start thinking about different career paths</w:t>
      </w:r>
      <w:r w:rsidR="00C5176D">
        <w:t xml:space="preserve"> in which</w:t>
      </w:r>
      <w:r>
        <w:t xml:space="preserve"> you might be interested. This will prepare you to dive into this lesson</w:t>
      </w:r>
      <w:r w:rsidR="00C5176D">
        <w:t xml:space="preserve">, in which you’ll explore </w:t>
      </w:r>
      <w:r>
        <w:t xml:space="preserve">future career plans </w:t>
      </w:r>
      <w:r w:rsidR="00C5176D">
        <w:t xml:space="preserve">tied to </w:t>
      </w:r>
      <w:r>
        <w:t>climate</w:t>
      </w:r>
      <w:r w:rsidR="00EB464E">
        <w:t>-change</w:t>
      </w:r>
      <w:r>
        <w:t xml:space="preserve"> solutions.</w:t>
      </w:r>
    </w:p>
    <w:p w14:paraId="25FA37D2" w14:textId="77777777" w:rsidR="00697515" w:rsidRDefault="00697515" w:rsidP="00697515">
      <w:pPr>
        <w:pStyle w:val="Heading2"/>
      </w:pPr>
      <w:r w:rsidRPr="00CD0494">
        <w:t>Process</w:t>
      </w:r>
    </w:p>
    <w:p w14:paraId="1BB17515" w14:textId="12BE0ABC" w:rsidR="0065360B" w:rsidRDefault="0065360B" w:rsidP="0065360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Review </w:t>
      </w:r>
      <w:r w:rsidR="00511FA8">
        <w:t xml:space="preserve">the careers listed in the chart </w:t>
      </w:r>
      <w:r w:rsidR="00EC3CCF">
        <w:t>on the next page</w:t>
      </w:r>
      <w:r>
        <w:t xml:space="preserve">. </w:t>
      </w:r>
      <w:r w:rsidR="00EC3CCF">
        <w:t xml:space="preserve">Pick </w:t>
      </w:r>
      <w:r w:rsidR="00EC3CCF" w:rsidRPr="00A34904">
        <w:rPr>
          <w:b/>
          <w:bCs/>
        </w:rPr>
        <w:t>two</w:t>
      </w:r>
      <w:r w:rsidR="00EC3CCF">
        <w:t xml:space="preserve"> of these careers, and then answer the following questions: </w:t>
      </w:r>
    </w:p>
    <w:p w14:paraId="5B9D1D55" w14:textId="72F3D58E" w:rsidR="00C04CF2" w:rsidRDefault="00EC3CCF" w:rsidP="00C04CF2">
      <w:pPr>
        <w:pStyle w:val="ListParagraph"/>
        <w:numPr>
          <w:ilvl w:val="3"/>
          <w:numId w:val="3"/>
        </w:numPr>
        <w:spacing w:after="120" w:line="240" w:lineRule="auto"/>
        <w:ind w:left="851" w:hanging="284"/>
      </w:pPr>
      <w:r>
        <w:t>Why do each of these two careers interest you?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504"/>
      </w:tblGrid>
      <w:tr w:rsidR="00C04CF2" w14:paraId="51906F97" w14:textId="77777777" w:rsidTr="00C04CF2">
        <w:trPr>
          <w:trHeight w:val="3866"/>
        </w:trPr>
        <w:tc>
          <w:tcPr>
            <w:tcW w:w="8504" w:type="dxa"/>
            <w:shd w:val="clear" w:color="auto" w:fill="F2F2F2" w:themeFill="background1" w:themeFillShade="F2"/>
          </w:tcPr>
          <w:p w14:paraId="357B2D95" w14:textId="77777777" w:rsidR="00C04CF2" w:rsidRDefault="00C04CF2" w:rsidP="00A020B6">
            <w:pPr>
              <w:pStyle w:val="BodyText"/>
            </w:pPr>
          </w:p>
        </w:tc>
      </w:tr>
    </w:tbl>
    <w:p w14:paraId="5D68CB00" w14:textId="77777777" w:rsidR="00C04CF2" w:rsidRDefault="00EC3CCF" w:rsidP="00C04CF2">
      <w:pPr>
        <w:pStyle w:val="ListParagraph"/>
        <w:numPr>
          <w:ilvl w:val="3"/>
          <w:numId w:val="3"/>
        </w:numPr>
        <w:spacing w:before="240" w:after="120" w:line="240" w:lineRule="auto"/>
        <w:ind w:left="851" w:hanging="284"/>
      </w:pPr>
      <w:r>
        <w:t>How might each of these two careers</w:t>
      </w:r>
      <w:r w:rsidR="0065360B">
        <w:t xml:space="preserve"> connect to climate</w:t>
      </w:r>
      <w:r w:rsidR="00EB464E">
        <w:t>-change</w:t>
      </w:r>
      <w:r w:rsidR="0065360B">
        <w:t xml:space="preserve"> solutions</w:t>
      </w:r>
      <w:r>
        <w:t>?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504"/>
      </w:tblGrid>
      <w:tr w:rsidR="00C04CF2" w14:paraId="05D48C80" w14:textId="77777777" w:rsidTr="00A020B6">
        <w:trPr>
          <w:trHeight w:val="3866"/>
        </w:trPr>
        <w:tc>
          <w:tcPr>
            <w:tcW w:w="8504" w:type="dxa"/>
            <w:shd w:val="clear" w:color="auto" w:fill="F2F2F2" w:themeFill="background1" w:themeFillShade="F2"/>
          </w:tcPr>
          <w:p w14:paraId="1840B7B6" w14:textId="77777777" w:rsidR="00C04CF2" w:rsidRDefault="00C04CF2" w:rsidP="00A020B6">
            <w:pPr>
              <w:pStyle w:val="BodyText"/>
            </w:pPr>
          </w:p>
        </w:tc>
      </w:tr>
    </w:tbl>
    <w:p w14:paraId="694B8BFC" w14:textId="1D5312CA" w:rsidR="00EC3CCF" w:rsidRDefault="00EC3CCF" w:rsidP="00A34904">
      <w:pPr>
        <w:spacing w:after="0"/>
      </w:pPr>
    </w:p>
    <w:p w14:paraId="365F24E7" w14:textId="115DAAB1" w:rsidR="0065360B" w:rsidRDefault="0065360B" w:rsidP="0065360B">
      <w:pPr>
        <w:pStyle w:val="ListParagraph"/>
        <w:numPr>
          <w:ilvl w:val="0"/>
          <w:numId w:val="3"/>
        </w:numPr>
        <w:spacing w:after="0"/>
      </w:pPr>
      <w:r>
        <w:t xml:space="preserve">Be prepared to share </w:t>
      </w:r>
      <w:r w:rsidR="00EB464E">
        <w:t xml:space="preserve">with the class </w:t>
      </w:r>
      <w:r>
        <w:t>your career</w:t>
      </w:r>
      <w:r w:rsidR="00EB464E">
        <w:t xml:space="preserve"> choices </w:t>
      </w:r>
      <w:r>
        <w:t xml:space="preserve">and </w:t>
      </w:r>
      <w:r w:rsidR="00EB464E">
        <w:t xml:space="preserve">the </w:t>
      </w:r>
      <w:r>
        <w:t>ways they connect with climate</w:t>
      </w:r>
      <w:r w:rsidR="00EB464E">
        <w:t>-change</w:t>
      </w:r>
      <w:r>
        <w:t xml:space="preserve"> solutions.</w:t>
      </w:r>
    </w:p>
    <w:p w14:paraId="1C198DB9" w14:textId="170498AA" w:rsidR="00C04CF2" w:rsidRDefault="00C04CF2" w:rsidP="00EA5B2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D5EE8" wp14:editId="0E7EABDD">
                <wp:simplePos x="0" y="0"/>
                <wp:positionH relativeFrom="column">
                  <wp:posOffset>-858982</wp:posOffset>
                </wp:positionH>
                <wp:positionV relativeFrom="paragraph">
                  <wp:posOffset>468283</wp:posOffset>
                </wp:positionV>
                <wp:extent cx="7628021" cy="258618"/>
                <wp:effectExtent l="0" t="0" r="0" b="0"/>
                <wp:wrapNone/>
                <wp:docPr id="6973502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8021" cy="258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D741C" w14:textId="77777777" w:rsidR="00C04CF2" w:rsidRPr="00C04CF2" w:rsidRDefault="00C04CF2" w:rsidP="00C04CF2">
                            <w:pPr>
                              <w:pStyle w:val="CCFooter"/>
                              <w:rPr>
                                <w:color w:val="A6A6A6" w:themeColor="background1" w:themeShade="A6"/>
                              </w:rPr>
                            </w:pPr>
                            <w:r w:rsidRPr="00C04CF2">
                              <w:rPr>
                                <w:color w:val="A6A6A6" w:themeColor="background1" w:themeShade="A6"/>
                              </w:rPr>
                              <w:t xml:space="preserve">Unless otherwise noted, this work is licensed under </w:t>
                            </w:r>
                            <w:hyperlink r:id="rId7" w:history="1">
                              <w:r w:rsidRPr="00C04CF2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CC BY 4.0</w:t>
                              </w:r>
                            </w:hyperlink>
                            <w:r w:rsidRPr="00C04CF2">
                              <w:rPr>
                                <w:color w:val="A6A6A6" w:themeColor="background1" w:themeShade="A6"/>
                              </w:rPr>
                              <w:t xml:space="preserve">. Credit: “Opener–Climate Careers Exploration”, OER Project, </w:t>
                            </w:r>
                            <w:hyperlink r:id="rId8" w:history="1">
                              <w:r w:rsidRPr="00C04CF2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https://www.oerproject.com/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D5E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7.65pt;margin-top:36.85pt;width:600.6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" filled="f" stroked="f" strokeweight=".5pt">
                <v:textbox>
                  <w:txbxContent>
                    <w:p w14:paraId="01FD741C" w14:textId="77777777" w:rsidR="00C04CF2" w:rsidRPr="00C04CF2" w:rsidRDefault="00C04CF2" w:rsidP="00C04CF2">
                      <w:pPr>
                        <w:pStyle w:val="CCFooter"/>
                        <w:rPr>
                          <w:color w:val="A6A6A6" w:themeColor="background1" w:themeShade="A6"/>
                        </w:rPr>
                      </w:pPr>
                      <w:r w:rsidRPr="00C04CF2">
                        <w:rPr>
                          <w:color w:val="A6A6A6" w:themeColor="background1" w:themeShade="A6"/>
                        </w:rPr>
                        <w:t xml:space="preserve">Unless otherwise noted, this work is licensed under </w:t>
                      </w:r>
                      <w:hyperlink r:id="rId9" w:history="1">
                        <w:r w:rsidRPr="00C04CF2">
                          <w:rPr>
                            <w:rStyle w:val="Hyperlink"/>
                            <w:color w:val="A6A6A6" w:themeColor="background1" w:themeShade="A6"/>
                          </w:rPr>
                          <w:t>CC BY 4.0</w:t>
                        </w:r>
                      </w:hyperlink>
                      <w:r w:rsidRPr="00C04CF2">
                        <w:rPr>
                          <w:color w:val="A6A6A6" w:themeColor="background1" w:themeShade="A6"/>
                        </w:rPr>
                        <w:t xml:space="preserve">. Credit: “Opener–Climate Careers Exploration”, OER Project, </w:t>
                      </w:r>
                      <w:hyperlink r:id="rId10" w:history="1">
                        <w:r w:rsidRPr="00C04CF2">
                          <w:rPr>
                            <w:rStyle w:val="Hyperlink"/>
                            <w:color w:val="A6A6A6" w:themeColor="background1" w:themeShade="A6"/>
                          </w:rPr>
                          <w:t>https://www.oerproject.com/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BA91F99" w14:textId="77777777" w:rsidR="005F7FF4" w:rsidRDefault="005F7FF4" w:rsidP="005F7FF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5F7FF4" w14:paraId="0BA7A18E" w14:textId="77777777" w:rsidTr="0062708E">
        <w:trPr>
          <w:trHeight w:val="56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22E0E9F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rStyle w:val="Bold"/>
                <w:rFonts w:asciiTheme="minorHAnsi" w:hAnsiTheme="minorHAnsi" w:cstheme="minorHAnsi"/>
                <w:b/>
                <w:bCs/>
                <w:sz w:val="21"/>
                <w:szCs w:val="21"/>
              </w:rPr>
              <w:t>Career Pathway</w:t>
            </w:r>
          </w:p>
        </w:tc>
        <w:tc>
          <w:tcPr>
            <w:tcW w:w="6803" w:type="dxa"/>
            <w:shd w:val="clear" w:color="auto" w:fill="D9D9D9" w:themeFill="background1" w:themeFillShade="D9"/>
            <w:vAlign w:val="center"/>
          </w:tcPr>
          <w:p w14:paraId="3BF39BAA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If I worked in_____________________________</w:t>
            </w:r>
            <w:proofErr w:type="gramStart"/>
            <w:r w:rsidRPr="001B4D84">
              <w:rPr>
                <w:sz w:val="21"/>
                <w:szCs w:val="21"/>
              </w:rPr>
              <w:t>_ ,</w:t>
            </w:r>
            <w:proofErr w:type="gramEnd"/>
            <w:r w:rsidRPr="001B4D84">
              <w:rPr>
                <w:sz w:val="21"/>
                <w:szCs w:val="21"/>
              </w:rPr>
              <w:t xml:space="preserve"> I would study…</w:t>
            </w:r>
          </w:p>
        </w:tc>
      </w:tr>
      <w:tr w:rsidR="005F7FF4" w14:paraId="47DA8A2F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8ED7211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Architecture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083DD9D6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the design of buildings and structures at varying scales.</w:t>
            </w:r>
          </w:p>
        </w:tc>
      </w:tr>
      <w:tr w:rsidR="005F7FF4" w14:paraId="004AF34E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5F403B1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Agricultural Science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1D3E763E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 xml:space="preserve">the activities that transform the environment </w:t>
            </w:r>
            <w:proofErr w:type="gramStart"/>
            <w:r w:rsidRPr="001B4D84">
              <w:rPr>
                <w:sz w:val="21"/>
                <w:szCs w:val="21"/>
              </w:rPr>
              <w:t>for the production of</w:t>
            </w:r>
            <w:proofErr w:type="gramEnd"/>
            <w:r w:rsidRPr="001B4D84">
              <w:rPr>
                <w:sz w:val="21"/>
                <w:szCs w:val="21"/>
              </w:rPr>
              <w:t xml:space="preserve"> plants and animals for human use.</w:t>
            </w:r>
          </w:p>
        </w:tc>
      </w:tr>
      <w:tr w:rsidR="005F7FF4" w14:paraId="2939050C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664B573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Biochemistry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7091ECDE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the chemistry of living organisms, primarily in the agriculture and energy sectors.</w:t>
            </w:r>
          </w:p>
        </w:tc>
      </w:tr>
      <w:tr w:rsidR="005F7FF4" w14:paraId="3F9A851B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B8375B4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City Planning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4D4733C9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the processes related to developing land use on a large scale, including infrastructure and air and water usage.</w:t>
            </w:r>
          </w:p>
        </w:tc>
      </w:tr>
      <w:tr w:rsidR="005F7FF4" w14:paraId="61478917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5F1238B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Chemical Engineering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2EED50F5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the development, design, and operation of chemical products and processes.</w:t>
            </w:r>
          </w:p>
        </w:tc>
      </w:tr>
      <w:tr w:rsidR="005F7FF4" w14:paraId="4EC4CF8B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0631924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Civil Engineering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44C82F21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the design of the built environment, particularly public works projects like roads, highways, dams, and railroads.</w:t>
            </w:r>
          </w:p>
        </w:tc>
      </w:tr>
      <w:tr w:rsidR="005F7FF4" w14:paraId="26074C74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F5AD711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Construction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0AF9A3A3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the process of building physical infrastructure such as office buildings, homes, and other large-scale structures</w:t>
            </w:r>
          </w:p>
        </w:tc>
      </w:tr>
      <w:tr w:rsidR="005F7FF4" w14:paraId="75003BA4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10CC660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Data Science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6223083F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 xml:space="preserve">large sets of data </w:t>
            </w:r>
            <w:proofErr w:type="gramStart"/>
            <w:r w:rsidRPr="001B4D84">
              <w:rPr>
                <w:sz w:val="21"/>
                <w:szCs w:val="21"/>
              </w:rPr>
              <w:t>in order to</w:t>
            </w:r>
            <w:proofErr w:type="gramEnd"/>
            <w:r w:rsidRPr="001B4D84">
              <w:rPr>
                <w:sz w:val="21"/>
                <w:szCs w:val="21"/>
              </w:rPr>
              <w:t xml:space="preserve"> solve complex problems or make predictions about the future.</w:t>
            </w:r>
          </w:p>
        </w:tc>
      </w:tr>
      <w:tr w:rsidR="005F7FF4" w14:paraId="3EB1DA60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4FCF752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Electrical Engineering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17A8B845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products and systems that use electricity and electromagnetism.</w:t>
            </w:r>
          </w:p>
        </w:tc>
      </w:tr>
      <w:tr w:rsidR="005F7FF4" w14:paraId="5DB61A36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8136E44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Environmental Engineering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2C79F4EE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the use of science and engineering to improve and maintain the health of the environment.</w:t>
            </w:r>
          </w:p>
        </w:tc>
      </w:tr>
      <w:tr w:rsidR="005F7FF4" w14:paraId="61A446FB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E187BF6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Environmental Law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7C5846E2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legal principles, court decisions, and laws that protect natural resources.</w:t>
            </w:r>
          </w:p>
        </w:tc>
      </w:tr>
      <w:tr w:rsidR="005F7FF4" w14:paraId="3C1F6AE1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6440730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Environmental Science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2AD4ADE1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the integration of natural resources in both the physical and biological sciences.</w:t>
            </w:r>
          </w:p>
        </w:tc>
      </w:tr>
      <w:tr w:rsidR="005F7FF4" w14:paraId="633B314D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C5400EC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Food Science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5DB426A3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problems in the food system related to chemistry, nutrition, biology, and engineering.</w:t>
            </w:r>
          </w:p>
        </w:tc>
      </w:tr>
      <w:tr w:rsidR="005F7FF4" w14:paraId="4CB3B177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0DF3B00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Geographic Information Science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3EE75BA5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economic, environmental, and social phenomena, through data collection and spatial analysis.</w:t>
            </w:r>
          </w:p>
        </w:tc>
      </w:tr>
      <w:tr w:rsidR="005F7FF4" w14:paraId="3E211140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4AC0AFB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International Law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772E1679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the laws governing relations between nations, and those of international organizations like the United Nations.</w:t>
            </w:r>
          </w:p>
        </w:tc>
      </w:tr>
      <w:tr w:rsidR="005F7FF4" w14:paraId="4B6B8C0D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59F904E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Material Science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256FC1D3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how materials are made and the relationships between material structure and properties</w:t>
            </w:r>
          </w:p>
        </w:tc>
      </w:tr>
      <w:tr w:rsidR="005F7FF4" w14:paraId="5B5C1D96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7E8A4BD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Mechanical Engineering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3304D495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 xml:space="preserve">power-generating devices and systems, from car engines to turbines to heating and cooling systems. </w:t>
            </w:r>
          </w:p>
        </w:tc>
      </w:tr>
      <w:tr w:rsidR="005F7FF4" w14:paraId="7456BE5D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7E7EBF0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Nuclear Physics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17535E56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the centers of atoms and the interactions that hold atoms together.</w:t>
            </w:r>
          </w:p>
        </w:tc>
      </w:tr>
      <w:tr w:rsidR="005F7FF4" w14:paraId="53858FA7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ED1EDAC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Public policy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1697AAF1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large-scale problems and the creation and implementation of policies that will address them.</w:t>
            </w:r>
          </w:p>
        </w:tc>
      </w:tr>
      <w:tr w:rsidR="005F7FF4" w14:paraId="4101799D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5E4EB09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Structural Engineering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7A198B49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science and math to create solutions to real-world problems related to the built environment.</w:t>
            </w:r>
          </w:p>
        </w:tc>
      </w:tr>
      <w:tr w:rsidR="005F7FF4" w14:paraId="1D97B706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0A34CE1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Teaching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43C95391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the skills, tools, and opportunities students will need to help them grow into engaged citizens and innovators</w:t>
            </w:r>
          </w:p>
        </w:tc>
      </w:tr>
      <w:tr w:rsidR="005F7FF4" w14:paraId="6C8C3903" w14:textId="77777777" w:rsidTr="0062708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0551062" w14:textId="77777777" w:rsidR="005F7FF4" w:rsidRPr="001B4D84" w:rsidRDefault="005F7FF4" w:rsidP="0062708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B4D84">
              <w:rPr>
                <w:b/>
                <w:bCs/>
                <w:sz w:val="21"/>
                <w:szCs w:val="21"/>
              </w:rPr>
              <w:t>Transportation Planning</w:t>
            </w:r>
          </w:p>
        </w:tc>
        <w:tc>
          <w:tcPr>
            <w:tcW w:w="6803" w:type="dxa"/>
            <w:shd w:val="clear" w:color="auto" w:fill="F2F2F2" w:themeFill="background1" w:themeFillShade="F2"/>
          </w:tcPr>
          <w:p w14:paraId="3A626A13" w14:textId="77777777" w:rsidR="005F7FF4" w:rsidRPr="001B4D84" w:rsidRDefault="005F7FF4" w:rsidP="0062708E">
            <w:pPr>
              <w:spacing w:after="0"/>
              <w:rPr>
                <w:sz w:val="21"/>
                <w:szCs w:val="21"/>
              </w:rPr>
            </w:pPr>
            <w:r w:rsidRPr="001B4D84">
              <w:rPr>
                <w:sz w:val="21"/>
                <w:szCs w:val="21"/>
              </w:rPr>
              <w:t>policies governing city and state transportation networks as they intersect with city planning, land use, and energy usage.</w:t>
            </w:r>
          </w:p>
        </w:tc>
      </w:tr>
    </w:tbl>
    <w:p w14:paraId="5A740753" w14:textId="77777777" w:rsidR="005F7FF4" w:rsidRDefault="005F7FF4" w:rsidP="005F7FF4">
      <w:pPr>
        <w:spacing w:after="0"/>
      </w:pPr>
    </w:p>
    <w:p w14:paraId="4C43CB34" w14:textId="1D5186B2" w:rsidR="00EA5B2D" w:rsidRDefault="00EA5B2D" w:rsidP="00EA5B2D">
      <w:pPr>
        <w:pStyle w:val="BodyText"/>
      </w:pPr>
    </w:p>
    <w:sectPr w:rsidR="00EA5B2D" w:rsidSect="00BE7793">
      <w:headerReference w:type="default" r:id="rId11"/>
      <w:footerReference w:type="default" r:id="rId12"/>
      <w:pgSz w:w="12240" w:h="15840"/>
      <w:pgMar w:top="1866" w:right="1440" w:bottom="1354" w:left="1440" w:header="720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6D96" w14:textId="77777777" w:rsidR="00BE7793" w:rsidRDefault="00BE7793" w:rsidP="00697515">
      <w:pPr>
        <w:spacing w:after="0"/>
      </w:pPr>
      <w:r>
        <w:separator/>
      </w:r>
    </w:p>
  </w:endnote>
  <w:endnote w:type="continuationSeparator" w:id="0">
    <w:p w14:paraId="49A304C7" w14:textId="77777777" w:rsidR="00BE7793" w:rsidRDefault="00BE7793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Aaux Pro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732B" w14:textId="77777777" w:rsidR="00746C55" w:rsidRDefault="007B1998">
    <w:r>
      <w:rPr>
        <w:noProof/>
      </w:rPr>
      <w:drawing>
        <wp:anchor distT="0" distB="0" distL="114300" distR="114300" simplePos="0" relativeHeight="251660288" behindDoc="1" locked="0" layoutInCell="1" allowOverlap="1" wp14:anchorId="2A1E580F" wp14:editId="6924F9E9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F873" w14:textId="77777777" w:rsidR="00BE7793" w:rsidRDefault="00BE7793" w:rsidP="00697515">
      <w:pPr>
        <w:spacing w:after="0"/>
      </w:pPr>
      <w:r>
        <w:separator/>
      </w:r>
    </w:p>
  </w:footnote>
  <w:footnote w:type="continuationSeparator" w:id="0">
    <w:p w14:paraId="130BC23C" w14:textId="77777777" w:rsidR="00BE7793" w:rsidRDefault="00BE7793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6EFE" w14:textId="5DFE4F83" w:rsidR="00746C55" w:rsidRPr="00F65964" w:rsidRDefault="007B1998" w:rsidP="00F65964">
    <w:pPr>
      <w:pStyle w:val="Header-CPLessonNumber"/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8920682" wp14:editId="75107F17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933BCA" id="Rectangle 5" o:spid="_x0000_s1026" style="position:absolute;margin-left:-252.45pt;margin-top:.85pt;width:801.65pt;height:75.1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xA4onOAAAAALAQAADwAAAAAAAAAAAAAAAADhBAAAZHJzL2Rvd25yZXYueG1sUEsFBgAA&#10;AAAEAAQA8wAAAO4FAAAAAA==&#10;" fillcolor="#d8d8d8 [2732]" stroked="f" strokeweight="1pt">
              <w10:wrap anchorx="margin" anchory="page"/>
            </v:rect>
          </w:pict>
        </mc:Fallback>
      </mc:AlternateContent>
    </w:r>
    <w:r w:rsidRPr="00F65964">
      <w:t xml:space="preserve"> CLIMATE PROJECT / </w:t>
    </w:r>
    <w:r w:rsidR="00C04CF2">
      <w:t>UNIT 4</w:t>
    </w:r>
  </w:p>
  <w:p w14:paraId="0FA9E5A9" w14:textId="031ADC72" w:rsidR="00456616" w:rsidRPr="00456616" w:rsidRDefault="00142D33" w:rsidP="00456616">
    <w:pPr>
      <w:pStyle w:val="Title"/>
    </w:pPr>
    <w:r>
      <w:t>OPEN</w:t>
    </w:r>
    <w:r w:rsidR="007B1998">
      <w:t>ER</w:t>
    </w:r>
    <w:r w:rsidR="001643BA">
      <w:t xml:space="preserve"> </w:t>
    </w:r>
    <w:r w:rsidR="007B1998" w:rsidRPr="00CD0494">
      <w:t>—</w:t>
    </w:r>
    <w:r w:rsidR="00EC4D78">
      <w:t xml:space="preserve">CLIMATE </w:t>
    </w:r>
    <w:r w:rsidR="001643BA">
      <w:t>CAREER</w:t>
    </w:r>
    <w:r w:rsidR="00EC4D78">
      <w:t>S</w:t>
    </w:r>
    <w:r w:rsidR="00EB464E">
      <w:t xml:space="preserve"> </w:t>
    </w:r>
    <w:r w:rsidR="001643BA">
      <w:t>EXPLORATION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751F"/>
    <w:multiLevelType w:val="hybridMultilevel"/>
    <w:tmpl w:val="4B86E7AE"/>
    <w:lvl w:ilvl="0" w:tplc="FFFFFFFF">
      <w:start w:val="1"/>
      <w:numFmt w:val="decimal"/>
      <w:lvlText w:val="%1."/>
      <w:lvlJc w:val="right"/>
      <w:pPr>
        <w:ind w:left="540" w:hanging="180"/>
      </w:pPr>
      <w:rPr>
        <w:rFonts w:asciiTheme="minorHAnsi" w:eastAsiaTheme="minorEastAsia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-180" w:hanging="360"/>
      </w:pPr>
    </w:lvl>
    <w:lvl w:ilvl="2" w:tplc="FFFFFFFF">
      <w:start w:val="1"/>
      <w:numFmt w:val="lowerRoman"/>
      <w:lvlText w:val="%3."/>
      <w:lvlJc w:val="right"/>
      <w:pPr>
        <w:ind w:left="540" w:hanging="180"/>
      </w:pPr>
    </w:lvl>
    <w:lvl w:ilvl="3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1980" w:hanging="360"/>
      </w:pPr>
    </w:lvl>
    <w:lvl w:ilvl="5" w:tplc="FFFFFFFF" w:tentative="1">
      <w:start w:val="1"/>
      <w:numFmt w:val="lowerRoman"/>
      <w:lvlText w:val="%6."/>
      <w:lvlJc w:val="right"/>
      <w:pPr>
        <w:ind w:left="2700" w:hanging="180"/>
      </w:pPr>
    </w:lvl>
    <w:lvl w:ilvl="6" w:tplc="FFFFFFFF" w:tentative="1">
      <w:start w:val="1"/>
      <w:numFmt w:val="decimal"/>
      <w:lvlText w:val="%7."/>
      <w:lvlJc w:val="left"/>
      <w:pPr>
        <w:ind w:left="3420" w:hanging="360"/>
      </w:pPr>
    </w:lvl>
    <w:lvl w:ilvl="7" w:tplc="FFFFFFFF" w:tentative="1">
      <w:start w:val="1"/>
      <w:numFmt w:val="lowerLetter"/>
      <w:lvlText w:val="%8."/>
      <w:lvlJc w:val="left"/>
      <w:pPr>
        <w:ind w:left="4140" w:hanging="360"/>
      </w:pPr>
    </w:lvl>
    <w:lvl w:ilvl="8" w:tplc="FFFFFFFF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783E"/>
    <w:multiLevelType w:val="multilevel"/>
    <w:tmpl w:val="7948549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20152347">
    <w:abstractNumId w:val="1"/>
  </w:num>
  <w:num w:numId="2" w16cid:durableId="1758598260">
    <w:abstractNumId w:val="2"/>
  </w:num>
  <w:num w:numId="3" w16cid:durableId="146153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BA"/>
    <w:rsid w:val="00001FE3"/>
    <w:rsid w:val="00044D61"/>
    <w:rsid w:val="00090464"/>
    <w:rsid w:val="000A7EA9"/>
    <w:rsid w:val="000B112E"/>
    <w:rsid w:val="00142D33"/>
    <w:rsid w:val="001643BA"/>
    <w:rsid w:val="00176366"/>
    <w:rsid w:val="00177F1D"/>
    <w:rsid w:val="001C3D81"/>
    <w:rsid w:val="00204B87"/>
    <w:rsid w:val="00260FF5"/>
    <w:rsid w:val="00273460"/>
    <w:rsid w:val="00293068"/>
    <w:rsid w:val="002F1A0D"/>
    <w:rsid w:val="00371351"/>
    <w:rsid w:val="00415402"/>
    <w:rsid w:val="00456616"/>
    <w:rsid w:val="00470EEC"/>
    <w:rsid w:val="004710D2"/>
    <w:rsid w:val="004C74BB"/>
    <w:rsid w:val="00511FA8"/>
    <w:rsid w:val="005B7BAB"/>
    <w:rsid w:val="005C4685"/>
    <w:rsid w:val="005D1547"/>
    <w:rsid w:val="005F7FF4"/>
    <w:rsid w:val="00623EDB"/>
    <w:rsid w:val="006427FA"/>
    <w:rsid w:val="0065360B"/>
    <w:rsid w:val="006611AB"/>
    <w:rsid w:val="00697515"/>
    <w:rsid w:val="006D52CA"/>
    <w:rsid w:val="00746C55"/>
    <w:rsid w:val="007B1998"/>
    <w:rsid w:val="007E1295"/>
    <w:rsid w:val="008131F0"/>
    <w:rsid w:val="00A011AF"/>
    <w:rsid w:val="00A272B5"/>
    <w:rsid w:val="00A34904"/>
    <w:rsid w:val="00AA42D5"/>
    <w:rsid w:val="00B2423B"/>
    <w:rsid w:val="00BC71CB"/>
    <w:rsid w:val="00BE4636"/>
    <w:rsid w:val="00BE7793"/>
    <w:rsid w:val="00C04CF2"/>
    <w:rsid w:val="00C26DE2"/>
    <w:rsid w:val="00C41099"/>
    <w:rsid w:val="00C5176D"/>
    <w:rsid w:val="00C6319B"/>
    <w:rsid w:val="00CC5F75"/>
    <w:rsid w:val="00D21BC9"/>
    <w:rsid w:val="00D616C5"/>
    <w:rsid w:val="00DF7ED0"/>
    <w:rsid w:val="00E325D8"/>
    <w:rsid w:val="00E33E83"/>
    <w:rsid w:val="00EA5B2D"/>
    <w:rsid w:val="00EA5E20"/>
    <w:rsid w:val="00EB018E"/>
    <w:rsid w:val="00EB464E"/>
    <w:rsid w:val="00EC3CCF"/>
    <w:rsid w:val="00EC4D78"/>
    <w:rsid w:val="00EE47B2"/>
    <w:rsid w:val="00F1585B"/>
    <w:rsid w:val="00F25408"/>
    <w:rsid w:val="00F33374"/>
    <w:rsid w:val="00FD27F9"/>
    <w:rsid w:val="00FD7B7E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9C3B4"/>
  <w15:chartTrackingRefBased/>
  <w15:docId w15:val="{2C569EB0-BA53-8B4C-8789-0811114E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paragraph" w:styleId="ListParagraph">
    <w:name w:val="List Paragraph"/>
    <w:basedOn w:val="Normal"/>
    <w:uiPriority w:val="34"/>
    <w:qFormat/>
    <w:rsid w:val="00142D33"/>
    <w:pPr>
      <w:spacing w:after="160" w:line="259" w:lineRule="auto"/>
      <w:ind w:left="720"/>
      <w:contextualSpacing/>
    </w:pPr>
    <w:rPr>
      <w:rFonts w:eastAsiaTheme="minorHAnsi" w:cstheme="minorBidi"/>
      <w:kern w:val="2"/>
      <w:lang w:val="en-US" w:bidi="ar-SA"/>
      <w14:ligatures w14:val="standardContextual"/>
    </w:rPr>
  </w:style>
  <w:style w:type="table" w:styleId="TableGrid">
    <w:name w:val="Table Grid"/>
    <w:basedOn w:val="TableNormal"/>
    <w:uiPriority w:val="39"/>
    <w:rsid w:val="00EA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5176D"/>
    <w:rPr>
      <w:color w:val="954F72" w:themeColor="followedHyperlink"/>
      <w:u w:val="single"/>
    </w:rPr>
  </w:style>
  <w:style w:type="character" w:customStyle="1" w:styleId="Bold">
    <w:name w:val="Bold"/>
    <w:uiPriority w:val="99"/>
    <w:rsid w:val="005F7FF4"/>
    <w:rPr>
      <w:rFonts w:ascii="Aaux ProBold" w:hAnsi="Aaux ProBold" w:cs="Aaux ProBold"/>
    </w:rPr>
  </w:style>
  <w:style w:type="paragraph" w:styleId="NoSpacing">
    <w:name w:val="No Spacing"/>
    <w:uiPriority w:val="1"/>
    <w:qFormat/>
    <w:rsid w:val="005F7FF4"/>
    <w:rPr>
      <w:rFonts w:eastAsiaTheme="minorEastAsia" w:cstheme="minorHAnsi"/>
      <w:sz w:val="22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rproject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erprojec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Intertext Research</dc:creator>
  <cp:keywords/>
  <dc:description/>
  <cp:lastModifiedBy>Jay Heins</cp:lastModifiedBy>
  <cp:revision>8</cp:revision>
  <dcterms:created xsi:type="dcterms:W3CDTF">2024-01-23T22:49:00Z</dcterms:created>
  <dcterms:modified xsi:type="dcterms:W3CDTF">2024-02-05T16:44:00Z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