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3D2E4C14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5F2EB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4EFBF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38D76854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95F00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64A2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0FAB5734" w14:textId="77777777" w:rsidR="0052012E" w:rsidRPr="00A825D2" w:rsidRDefault="0052012E" w:rsidP="0052012E">
      <w:pPr>
        <w:pStyle w:val="Heading2"/>
        <w:rPr>
          <w:rFonts w:eastAsia="Arial"/>
          <w:b w:val="0"/>
          <w:bCs w:val="0"/>
          <w:highlight w:val="white"/>
        </w:rPr>
      </w:pPr>
      <w:r w:rsidRPr="0052012E">
        <w:t>Purpose</w:t>
      </w:r>
    </w:p>
    <w:p w14:paraId="3B3D104D" w14:textId="77777777" w:rsidR="0052012E" w:rsidRPr="00A825D2" w:rsidRDefault="0052012E" w:rsidP="0052012E">
      <w:pPr>
        <w:pStyle w:val="BodyText"/>
      </w:pPr>
      <w:bookmarkStart w:id="0" w:name="_gjdgxs" w:colFirst="0" w:colLast="0"/>
      <w:bookmarkEnd w:id="0"/>
      <w:r w:rsidRPr="00A825D2">
        <w:t xml:space="preserve">This activity asks you to use what you already </w:t>
      </w:r>
      <w:r>
        <w:t>know</w:t>
      </w:r>
      <w:r w:rsidRPr="00A825D2">
        <w:t xml:space="preserve"> to make predictions about what you might learn next. Making </w:t>
      </w:r>
      <w:r w:rsidRPr="0052012E">
        <w:t>predictions</w:t>
      </w:r>
      <w:r w:rsidRPr="00A825D2">
        <w:t xml:space="preserve"> is a critical</w:t>
      </w:r>
      <w:r>
        <w:t>-</w:t>
      </w:r>
      <w:r w:rsidRPr="00A825D2">
        <w:t>thinking skill that improves retention and builds stronger connections between learners and history. Additionally, categorizing notes as political, economic, social, or technological</w:t>
      </w:r>
      <w:r>
        <w:t xml:space="preserve"> and </w:t>
      </w:r>
      <w:r w:rsidRPr="00A825D2">
        <w:t>evaluating change from different perspectives</w:t>
      </w:r>
      <w:r>
        <w:t xml:space="preserve"> </w:t>
      </w:r>
      <w:r w:rsidRPr="00A825D2">
        <w:t xml:space="preserve">are key ways to deepen our analysis </w:t>
      </w:r>
      <w:r>
        <w:t>of</w:t>
      </w:r>
      <w:r w:rsidRPr="00A825D2">
        <w:t xml:space="preserve"> historical writing. So</w:t>
      </w:r>
      <w:r>
        <w:t>,</w:t>
      </w:r>
      <w:r w:rsidRPr="00A825D2">
        <w:t xml:space="preserve"> let’s get guessing!</w:t>
      </w:r>
    </w:p>
    <w:p w14:paraId="30A72C78" w14:textId="77777777" w:rsidR="0052012E" w:rsidRPr="00A825D2" w:rsidRDefault="0052012E" w:rsidP="0052012E">
      <w:pPr>
        <w:pStyle w:val="Heading2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bookmarkStart w:id="1" w:name="_rzw917x45w84" w:colFirst="0" w:colLast="0"/>
      <w:bookmarkEnd w:id="1"/>
      <w:r w:rsidRPr="00A825D2">
        <w:rPr>
          <w:rFonts w:ascii="Calibri" w:hAnsi="Calibri" w:cs="Calibri"/>
          <w:color w:val="auto"/>
          <w:sz w:val="22"/>
          <w:szCs w:val="22"/>
        </w:rPr>
        <w:t>Process</w:t>
      </w:r>
    </w:p>
    <w:p w14:paraId="1861D0E9" w14:textId="77777777" w:rsidR="0052012E" w:rsidRPr="00A825D2" w:rsidRDefault="0052012E" w:rsidP="0052012E">
      <w:pPr>
        <w:pStyle w:val="ListParagraph"/>
      </w:pPr>
      <w:r w:rsidRPr="00A825D2">
        <w:t xml:space="preserve">Look at the prediction chart below. Fill in as many spaces as you can in the time your teacher allows.  </w:t>
      </w:r>
    </w:p>
    <w:p w14:paraId="7B9841E6" w14:textId="77777777" w:rsidR="0052012E" w:rsidRPr="00A825D2" w:rsidRDefault="0052012E" w:rsidP="0052012E">
      <w:pPr>
        <w:pStyle w:val="ListParagraph"/>
      </w:pPr>
      <w:r w:rsidRPr="00A825D2">
        <w:t xml:space="preserve">After time is up, share your predictions aloud. </w:t>
      </w:r>
    </w:p>
    <w:p w14:paraId="1B250ACB" w14:textId="77777777" w:rsidR="0052012E" w:rsidRPr="00A825D2" w:rsidRDefault="0052012E" w:rsidP="0052012E">
      <w:pPr>
        <w:spacing w:after="0"/>
      </w:pPr>
    </w:p>
    <w:p w14:paraId="771BD97F" w14:textId="77777777" w:rsidR="0052012E" w:rsidRPr="00A825D2" w:rsidRDefault="0052012E" w:rsidP="0052012E">
      <w:pPr>
        <w:spacing w:after="0"/>
      </w:pPr>
    </w:p>
    <w:tbl>
      <w:tblPr>
        <w:tblW w:w="9900" w:type="dxa"/>
        <w:tblInd w:w="-3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4860"/>
      </w:tblGrid>
      <w:tr w:rsidR="0052012E" w:rsidRPr="00A825D2" w14:paraId="7342CB27" w14:textId="77777777" w:rsidTr="0052012E">
        <w:tc>
          <w:tcPr>
            <w:tcW w:w="50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CF7B" w14:textId="77777777" w:rsidR="0052012E" w:rsidRPr="00A825D2" w:rsidRDefault="0052012E" w:rsidP="00A52E5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825D2">
              <w:rPr>
                <w:i/>
              </w:rPr>
              <w:t xml:space="preserve">Predict one political, one economic, one social/cultural, and one technological effect that the </w:t>
            </w:r>
            <w:r>
              <w:rPr>
                <w:i/>
              </w:rPr>
              <w:t>new metal iron</w:t>
            </w:r>
            <w:r w:rsidRPr="00A825D2">
              <w:rPr>
                <w:i/>
              </w:rPr>
              <w:t xml:space="preserve"> will have on </w:t>
            </w:r>
            <w:r w:rsidRPr="00A825D2">
              <w:rPr>
                <w:b/>
                <w:bCs/>
                <w:i/>
              </w:rPr>
              <w:t>communities</w:t>
            </w:r>
            <w:r>
              <w:rPr>
                <w:i/>
              </w:rPr>
              <w:t>.</w:t>
            </w:r>
          </w:p>
        </w:tc>
        <w:tc>
          <w:tcPr>
            <w:tcW w:w="48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5C5B" w14:textId="77777777" w:rsidR="0052012E" w:rsidRPr="00A825D2" w:rsidRDefault="0052012E" w:rsidP="00A52E5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825D2">
              <w:rPr>
                <w:i/>
              </w:rPr>
              <w:t xml:space="preserve">Predict one political, one economic, one social/cultural, and one technological effect that the </w:t>
            </w:r>
            <w:r>
              <w:rPr>
                <w:i/>
              </w:rPr>
              <w:t>new metal iron</w:t>
            </w:r>
            <w:r w:rsidRPr="00A825D2">
              <w:rPr>
                <w:i/>
              </w:rPr>
              <w:t xml:space="preserve"> will have on </w:t>
            </w:r>
            <w:r w:rsidRPr="00A825D2">
              <w:rPr>
                <w:b/>
                <w:bCs/>
                <w:i/>
              </w:rPr>
              <w:t>networks</w:t>
            </w:r>
            <w:r>
              <w:rPr>
                <w:i/>
              </w:rPr>
              <w:t>.</w:t>
            </w:r>
          </w:p>
        </w:tc>
      </w:tr>
      <w:tr w:rsidR="0052012E" w:rsidRPr="00A825D2" w14:paraId="3B1A1407" w14:textId="77777777" w:rsidTr="0052012E">
        <w:tc>
          <w:tcPr>
            <w:tcW w:w="5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5168" w14:textId="0B2996CC" w:rsidR="0052012E" w:rsidRDefault="0052012E" w:rsidP="00A52E5F">
            <w:pPr>
              <w:spacing w:after="0"/>
              <w:jc w:val="both"/>
              <w:rPr>
                <w:i/>
              </w:rPr>
            </w:pPr>
            <w:r w:rsidRPr="00A825D2">
              <w:rPr>
                <w:i/>
              </w:rPr>
              <w:t xml:space="preserve">P </w:t>
            </w:r>
            <w:r>
              <w:rPr>
                <w:i/>
              </w:rPr>
              <w:t>–</w:t>
            </w:r>
            <w:r w:rsidRPr="00A825D2">
              <w:rPr>
                <w:i/>
              </w:rPr>
              <w:t> </w:t>
            </w:r>
          </w:p>
          <w:p w14:paraId="6BD81930" w14:textId="77777777" w:rsidR="0052012E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  <w:p w14:paraId="64787B92" w14:textId="77777777" w:rsidR="0052012E" w:rsidRPr="00A825D2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7929" w14:textId="77777777" w:rsidR="0052012E" w:rsidRPr="00A825D2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A825D2">
              <w:rPr>
                <w:i/>
              </w:rPr>
              <w:t>P -</w:t>
            </w:r>
          </w:p>
        </w:tc>
      </w:tr>
      <w:tr w:rsidR="0052012E" w:rsidRPr="00A825D2" w14:paraId="6215B998" w14:textId="77777777" w:rsidTr="0052012E">
        <w:tc>
          <w:tcPr>
            <w:tcW w:w="5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DB13" w14:textId="3A161145" w:rsidR="0052012E" w:rsidRDefault="0052012E" w:rsidP="00A52E5F">
            <w:pPr>
              <w:spacing w:after="0"/>
              <w:jc w:val="both"/>
              <w:rPr>
                <w:i/>
              </w:rPr>
            </w:pPr>
            <w:r w:rsidRPr="00A825D2">
              <w:rPr>
                <w:i/>
              </w:rPr>
              <w:t xml:space="preserve">E </w:t>
            </w:r>
            <w:r>
              <w:rPr>
                <w:i/>
              </w:rPr>
              <w:t>–</w:t>
            </w:r>
            <w:r w:rsidRPr="00A825D2">
              <w:rPr>
                <w:i/>
              </w:rPr>
              <w:t> </w:t>
            </w:r>
          </w:p>
          <w:p w14:paraId="4C1BD331" w14:textId="77777777" w:rsidR="0052012E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  <w:p w14:paraId="727F2D60" w14:textId="77777777" w:rsidR="0052012E" w:rsidRPr="00A825D2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BE1A" w14:textId="77777777" w:rsidR="0052012E" w:rsidRPr="00A825D2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A825D2">
              <w:rPr>
                <w:i/>
              </w:rPr>
              <w:t>E - </w:t>
            </w:r>
          </w:p>
        </w:tc>
      </w:tr>
      <w:tr w:rsidR="0052012E" w:rsidRPr="00A825D2" w14:paraId="47653E78" w14:textId="77777777" w:rsidTr="0052012E">
        <w:tc>
          <w:tcPr>
            <w:tcW w:w="5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E17B" w14:textId="27548AF1" w:rsidR="0052012E" w:rsidRDefault="0052012E" w:rsidP="00A52E5F">
            <w:pPr>
              <w:spacing w:after="0"/>
              <w:jc w:val="both"/>
              <w:rPr>
                <w:i/>
              </w:rPr>
            </w:pPr>
            <w:r w:rsidRPr="00A825D2">
              <w:rPr>
                <w:i/>
              </w:rPr>
              <w:t xml:space="preserve">S </w:t>
            </w:r>
            <w:r>
              <w:rPr>
                <w:i/>
              </w:rPr>
              <w:t>–</w:t>
            </w:r>
            <w:r w:rsidRPr="00A825D2">
              <w:rPr>
                <w:i/>
              </w:rPr>
              <w:t> </w:t>
            </w:r>
          </w:p>
          <w:p w14:paraId="2D605AB9" w14:textId="77777777" w:rsidR="0052012E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  <w:p w14:paraId="767DE75D" w14:textId="77777777" w:rsidR="0052012E" w:rsidRPr="00A825D2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D13F" w14:textId="77777777" w:rsidR="0052012E" w:rsidRPr="00A825D2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A825D2">
              <w:rPr>
                <w:i/>
              </w:rPr>
              <w:t>S -</w:t>
            </w:r>
          </w:p>
        </w:tc>
      </w:tr>
      <w:tr w:rsidR="0052012E" w:rsidRPr="00A825D2" w14:paraId="1DD2D47C" w14:textId="77777777" w:rsidTr="0052012E">
        <w:tc>
          <w:tcPr>
            <w:tcW w:w="5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36DB" w14:textId="77777777" w:rsidR="0052012E" w:rsidRDefault="0052012E" w:rsidP="00A52E5F">
            <w:pPr>
              <w:spacing w:after="0"/>
              <w:jc w:val="both"/>
              <w:rPr>
                <w:i/>
              </w:rPr>
            </w:pPr>
            <w:r w:rsidRPr="00A825D2">
              <w:rPr>
                <w:i/>
              </w:rPr>
              <w:t>T-</w:t>
            </w:r>
          </w:p>
          <w:p w14:paraId="63BA3CF1" w14:textId="77777777" w:rsidR="0052012E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  <w:p w14:paraId="121A609B" w14:textId="77777777" w:rsidR="0052012E" w:rsidRPr="00A825D2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DA13" w14:textId="77777777" w:rsidR="0052012E" w:rsidRPr="00A825D2" w:rsidRDefault="0052012E" w:rsidP="00A52E5F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A825D2">
              <w:rPr>
                <w:i/>
              </w:rPr>
              <w:t>T-</w:t>
            </w:r>
          </w:p>
        </w:tc>
      </w:tr>
    </w:tbl>
    <w:p w14:paraId="489356F8" w14:textId="77777777" w:rsidR="0052012E" w:rsidRPr="00A825D2" w:rsidRDefault="0052012E" w:rsidP="0052012E"/>
    <w:tbl>
      <w:tblPr>
        <w:tblW w:w="9782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2"/>
      </w:tblGrid>
      <w:tr w:rsidR="0052012E" w:rsidRPr="00A825D2" w14:paraId="7BF2F0BD" w14:textId="77777777" w:rsidTr="0052012E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274F" w14:textId="77777777" w:rsidR="0052012E" w:rsidRPr="00A825D2" w:rsidRDefault="0052012E" w:rsidP="00A52E5F">
            <w:pPr>
              <w:spacing w:after="0"/>
              <w:rPr>
                <w:i/>
              </w:rPr>
            </w:pPr>
            <w:r w:rsidRPr="00A825D2">
              <w:rPr>
                <w:i/>
              </w:rPr>
              <w:t xml:space="preserve">Teachers’ note: When discussing students’ predictions, encourage students to explain </w:t>
            </w:r>
            <w:r w:rsidRPr="00A825D2">
              <w:rPr>
                <w:b/>
                <w:i/>
              </w:rPr>
              <w:t>why</w:t>
            </w:r>
            <w:r w:rsidRPr="00A825D2">
              <w:rPr>
                <w:i/>
              </w:rPr>
              <w:t xml:space="preserve"> they made each prediction, </w:t>
            </w:r>
            <w:r>
              <w:rPr>
                <w:i/>
              </w:rPr>
              <w:t xml:space="preserve">either </w:t>
            </w:r>
            <w:r w:rsidRPr="00A825D2">
              <w:rPr>
                <w:i/>
              </w:rPr>
              <w:t xml:space="preserve">based on what they already learned or based on their own knowledge of world history and human behavior. </w:t>
            </w:r>
          </w:p>
        </w:tc>
      </w:tr>
    </w:tbl>
    <w:p w14:paraId="671C4D52" w14:textId="77777777" w:rsidR="00B07493" w:rsidRPr="00552072" w:rsidRDefault="00B07493" w:rsidP="00B07493">
      <w:pPr>
        <w:rPr>
          <w:lang w:val="en-US"/>
        </w:rPr>
      </w:pPr>
    </w:p>
    <w:sectPr w:rsidR="00B07493" w:rsidRPr="00552072" w:rsidSect="00CF2D9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9D80" w14:textId="77777777" w:rsidR="00EB684D" w:rsidRDefault="00EB684D" w:rsidP="00697515">
      <w:pPr>
        <w:spacing w:after="0"/>
      </w:pPr>
      <w:r>
        <w:separator/>
      </w:r>
    </w:p>
  </w:endnote>
  <w:endnote w:type="continuationSeparator" w:id="0">
    <w:p w14:paraId="210CCE3A" w14:textId="77777777" w:rsidR="00EB684D" w:rsidRDefault="00EB684D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CC4E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BA272A1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23B02752" wp14:editId="37E1274B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B893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78FCE60" w14:textId="53266498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F64A1F" w:rsidRPr="00F64A1F">
      <w:t>Opener—Making Predictions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A34124C" wp14:editId="0AAE9A6C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0EEE" w14:textId="77777777" w:rsidR="00EB684D" w:rsidRDefault="00EB684D" w:rsidP="00697515">
      <w:pPr>
        <w:spacing w:after="0"/>
      </w:pPr>
      <w:r>
        <w:separator/>
      </w:r>
    </w:p>
  </w:footnote>
  <w:footnote w:type="continuationSeparator" w:id="0">
    <w:p w14:paraId="706C19BE" w14:textId="77777777" w:rsidR="00EB684D" w:rsidRDefault="00EB684D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C2A0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CDEA2FE" wp14:editId="141FD161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090F1B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DT2V8q4gAAAA8BAAAPAAAAAAAAAAAAAAAAAOEEAABkcnMvZG93bnJldi54bWxQSwUG&#10;AAAAAAQABADzAAAA8A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B42433F" w14:textId="25BBCDAE" w:rsidR="00746C55" w:rsidRPr="001A5D22" w:rsidRDefault="00B361D5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 / LESSON 3.3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81AC0E6" w14:textId="28807943" w:rsidR="00746C55" w:rsidRPr="001A5D22" w:rsidRDefault="0052012E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OPENER—MAKING PREDICTIONS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AA6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AD2C0E" wp14:editId="357FFDB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BE248F8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F4MDErkAAAADwEAAA8AAAAAAAAAAAAAAAAA4QQAAGRycy9kb3ducmV2LnhtbFBL&#10;BQYAAAAABAAEAPMAAADyBQAAAAA=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582D170D" w14:textId="66A9AD3F" w:rsidR="00871508" w:rsidRDefault="00871508" w:rsidP="00871508">
        <w:pPr>
          <w:pStyle w:val="Header-CPLessonNumber"/>
        </w:pPr>
        <w:r w:rsidRPr="00871508">
          <w:t xml:space="preserve">WHP ORIGINS / LESSON </w:t>
        </w:r>
        <w:r w:rsidR="0052012E">
          <w:t>3.</w:t>
        </w:r>
        <w:r w:rsidR="00B361D5">
          <w:t>3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4DA2670" w14:textId="3785AC1F" w:rsidR="00871508" w:rsidRDefault="00871508" w:rsidP="00871508">
        <w:pPr>
          <w:pStyle w:val="Title"/>
        </w:pPr>
        <w:r w:rsidRPr="00871508">
          <w:t>OPENER—</w:t>
        </w:r>
        <w:r w:rsidR="0052012E">
          <w:t>MAKING PREDICTIONS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C0F7C1D"/>
    <w:multiLevelType w:val="multilevel"/>
    <w:tmpl w:val="8E3C1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2"/>
  </w:num>
  <w:num w:numId="2" w16cid:durableId="611404007">
    <w:abstractNumId w:val="5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3"/>
  </w:num>
  <w:num w:numId="6" w16cid:durableId="1586112700">
    <w:abstractNumId w:val="3"/>
  </w:num>
  <w:num w:numId="7" w16cid:durableId="1621256220">
    <w:abstractNumId w:val="3"/>
  </w:num>
  <w:num w:numId="8" w16cid:durableId="1153722447">
    <w:abstractNumId w:val="3"/>
  </w:num>
  <w:num w:numId="9" w16cid:durableId="1542009951">
    <w:abstractNumId w:val="1"/>
  </w:num>
  <w:num w:numId="10" w16cid:durableId="1533179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E9"/>
    <w:rsid w:val="000004F5"/>
    <w:rsid w:val="00006C2A"/>
    <w:rsid w:val="0001642B"/>
    <w:rsid w:val="00063682"/>
    <w:rsid w:val="000D5563"/>
    <w:rsid w:val="000D5642"/>
    <w:rsid w:val="00105A6A"/>
    <w:rsid w:val="00147E33"/>
    <w:rsid w:val="0015414F"/>
    <w:rsid w:val="0017588C"/>
    <w:rsid w:val="00177F1D"/>
    <w:rsid w:val="001A5D22"/>
    <w:rsid w:val="001B75A8"/>
    <w:rsid w:val="001C3D81"/>
    <w:rsid w:val="00204B87"/>
    <w:rsid w:val="00232242"/>
    <w:rsid w:val="00273460"/>
    <w:rsid w:val="0028541F"/>
    <w:rsid w:val="002D4138"/>
    <w:rsid w:val="002D6B0E"/>
    <w:rsid w:val="002E6C31"/>
    <w:rsid w:val="002F1A0D"/>
    <w:rsid w:val="00383C23"/>
    <w:rsid w:val="003B4FB3"/>
    <w:rsid w:val="00407CC6"/>
    <w:rsid w:val="00414C11"/>
    <w:rsid w:val="00415402"/>
    <w:rsid w:val="0052012E"/>
    <w:rsid w:val="005239FE"/>
    <w:rsid w:val="005251B5"/>
    <w:rsid w:val="00552072"/>
    <w:rsid w:val="005D1547"/>
    <w:rsid w:val="005D1AC2"/>
    <w:rsid w:val="005E786F"/>
    <w:rsid w:val="005F6492"/>
    <w:rsid w:val="006224A7"/>
    <w:rsid w:val="00623EDB"/>
    <w:rsid w:val="0063130D"/>
    <w:rsid w:val="00637865"/>
    <w:rsid w:val="006427FA"/>
    <w:rsid w:val="00673524"/>
    <w:rsid w:val="006928D8"/>
    <w:rsid w:val="00697515"/>
    <w:rsid w:val="006D52CA"/>
    <w:rsid w:val="007146B7"/>
    <w:rsid w:val="00736510"/>
    <w:rsid w:val="00746C55"/>
    <w:rsid w:val="007569CC"/>
    <w:rsid w:val="007B1998"/>
    <w:rsid w:val="007C0607"/>
    <w:rsid w:val="008233E1"/>
    <w:rsid w:val="0084157E"/>
    <w:rsid w:val="00846CA1"/>
    <w:rsid w:val="00847057"/>
    <w:rsid w:val="008504AE"/>
    <w:rsid w:val="00871508"/>
    <w:rsid w:val="0094659C"/>
    <w:rsid w:val="009E2940"/>
    <w:rsid w:val="00A272B5"/>
    <w:rsid w:val="00AA0641"/>
    <w:rsid w:val="00AA42D5"/>
    <w:rsid w:val="00AC6BFD"/>
    <w:rsid w:val="00B07493"/>
    <w:rsid w:val="00B23354"/>
    <w:rsid w:val="00B361D5"/>
    <w:rsid w:val="00B63473"/>
    <w:rsid w:val="00B73B9B"/>
    <w:rsid w:val="00B97418"/>
    <w:rsid w:val="00BC6374"/>
    <w:rsid w:val="00BD0447"/>
    <w:rsid w:val="00BD161A"/>
    <w:rsid w:val="00C26DE2"/>
    <w:rsid w:val="00C41099"/>
    <w:rsid w:val="00C421EC"/>
    <w:rsid w:val="00C851A9"/>
    <w:rsid w:val="00C96E4C"/>
    <w:rsid w:val="00CC0164"/>
    <w:rsid w:val="00CF2D99"/>
    <w:rsid w:val="00CF44B2"/>
    <w:rsid w:val="00D030E9"/>
    <w:rsid w:val="00D21BC9"/>
    <w:rsid w:val="00D616C5"/>
    <w:rsid w:val="00D94492"/>
    <w:rsid w:val="00DC4C12"/>
    <w:rsid w:val="00DF7ED0"/>
    <w:rsid w:val="00E064FB"/>
    <w:rsid w:val="00E325D8"/>
    <w:rsid w:val="00E33E83"/>
    <w:rsid w:val="00EB018E"/>
    <w:rsid w:val="00EB15BE"/>
    <w:rsid w:val="00EB684D"/>
    <w:rsid w:val="00F3693C"/>
    <w:rsid w:val="00F64A1F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D74E0"/>
  <w15:chartTrackingRefBased/>
  <w15:docId w15:val="{686341B1-A72A-074C-BC18-6E58D752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OPENER—MAKING PREDICTIONS</dc:title>
  <dc:subject>WHP ORIGINS / LESSON 3.3</dc:subject>
  <dc:creator>Microsoft Office User</dc:creator>
  <cp:keywords/>
  <dc:description/>
  <cp:lastModifiedBy>Sam Heins</cp:lastModifiedBy>
  <cp:revision>3</cp:revision>
  <cp:lastPrinted>2023-11-09T20:37:00Z</cp:lastPrinted>
  <dcterms:created xsi:type="dcterms:W3CDTF">2024-05-01T22:26:00Z</dcterms:created>
  <dcterms:modified xsi:type="dcterms:W3CDTF">2024-05-21T18:33:00Z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