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E499" w14:textId="48CF7078" w:rsidR="00697515" w:rsidRPr="00CD0494" w:rsidRDefault="00697515" w:rsidP="00070ADB">
      <w:pPr>
        <w:pStyle w:val="Heading2"/>
        <w:spacing w:before="0"/>
      </w:pPr>
      <w:r w:rsidRPr="00CD0494">
        <w:t>Purpose</w:t>
      </w:r>
    </w:p>
    <w:p w14:paraId="1248B2BF" w14:textId="1F6B7717" w:rsidR="00070ADB" w:rsidRDefault="005944E7" w:rsidP="00070ADB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bidi="ar-SA"/>
        </w:rPr>
      </w:pPr>
      <w:r>
        <w:rPr>
          <w:rFonts w:eastAsia="Times New Roman"/>
          <w:b w:val="0"/>
          <w:bCs w:val="0"/>
          <w:sz w:val="22"/>
          <w:szCs w:val="22"/>
          <w:lang w:bidi="ar-SA"/>
        </w:rPr>
        <w:t xml:space="preserve">In this activity, you’ll get a 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 xml:space="preserve">preview </w:t>
      </w:r>
      <w:r>
        <w:rPr>
          <w:rFonts w:eastAsia="Times New Roman"/>
          <w:b w:val="0"/>
          <w:bCs w:val="0"/>
          <w:sz w:val="22"/>
          <w:szCs w:val="22"/>
          <w:lang w:bidi="ar-SA"/>
        </w:rPr>
        <w:t>of some of the vocabulary you’ll encounter in th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>e</w:t>
      </w:r>
      <w:r>
        <w:rPr>
          <w:rFonts w:eastAsia="Times New Roman"/>
          <w:b w:val="0"/>
          <w:bCs w:val="0"/>
          <w:sz w:val="22"/>
          <w:szCs w:val="22"/>
          <w:lang w:bidi="ar-SA"/>
        </w:rPr>
        <w:t xml:space="preserve"> unit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>. This glimpse will enable you</w:t>
      </w:r>
      <w:r>
        <w:rPr>
          <w:rFonts w:eastAsia="Times New Roman"/>
          <w:b w:val="0"/>
          <w:bCs w:val="0"/>
          <w:sz w:val="22"/>
          <w:szCs w:val="22"/>
          <w:lang w:bidi="ar-SA"/>
        </w:rPr>
        <w:t xml:space="preserve"> 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 xml:space="preserve">to </w:t>
      </w:r>
      <w:r>
        <w:rPr>
          <w:rFonts w:eastAsia="Times New Roman"/>
          <w:b w:val="0"/>
          <w:bCs w:val="0"/>
          <w:sz w:val="22"/>
          <w:szCs w:val="22"/>
          <w:lang w:bidi="ar-SA"/>
        </w:rPr>
        <w:t>connect these words with their meanings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 xml:space="preserve"> when you come upon them in the lessons that follow</w:t>
      </w:r>
      <w:r>
        <w:rPr>
          <w:rFonts w:eastAsia="Times New Roman"/>
          <w:b w:val="0"/>
          <w:bCs w:val="0"/>
          <w:sz w:val="22"/>
          <w:szCs w:val="22"/>
          <w:lang w:bidi="ar-SA"/>
        </w:rPr>
        <w:t>.</w:t>
      </w:r>
      <w:r w:rsidR="00313E5D">
        <w:rPr>
          <w:rFonts w:eastAsia="Times New Roman"/>
          <w:b w:val="0"/>
          <w:bCs w:val="0"/>
          <w:sz w:val="22"/>
          <w:szCs w:val="22"/>
          <w:lang w:bidi="ar-SA"/>
        </w:rPr>
        <w:t xml:space="preserve"> If you’re already familiar with any of the words, this opener will activate that prior knowledge or experience.</w:t>
      </w:r>
    </w:p>
    <w:p w14:paraId="65448AFD" w14:textId="2C8F58A6" w:rsidR="00697515" w:rsidRPr="00070ADB" w:rsidRDefault="00697515" w:rsidP="00697515">
      <w:pPr>
        <w:pStyle w:val="Heading2"/>
        <w:rPr>
          <w:lang w:val="en-US"/>
        </w:rPr>
      </w:pPr>
      <w:r w:rsidRPr="00070ADB">
        <w:rPr>
          <w:lang w:val="en-US"/>
        </w:rPr>
        <w:t>Process</w:t>
      </w:r>
    </w:p>
    <w:p w14:paraId="3E1502C6" w14:textId="545A06D7" w:rsidR="00851581" w:rsidRPr="00644854" w:rsidRDefault="008F3B20" w:rsidP="00851581">
      <w:pPr>
        <w:pStyle w:val="BodyText"/>
        <w:numPr>
          <w:ilvl w:val="0"/>
          <w:numId w:val="2"/>
        </w:numPr>
      </w:pPr>
      <w:r>
        <w:rPr>
          <w:rFonts w:eastAsia="Times New Roman"/>
          <w:color w:val="000000" w:themeColor="text1"/>
          <w:lang w:val="en-US" w:bidi="ar-SA"/>
        </w:rPr>
        <w:t xml:space="preserve">Take a few minutes to </w:t>
      </w:r>
      <w:r w:rsidR="005944E7">
        <w:rPr>
          <w:rFonts w:eastAsia="Times New Roman"/>
          <w:color w:val="000000" w:themeColor="text1"/>
          <w:lang w:val="en-US" w:bidi="ar-SA"/>
        </w:rPr>
        <w:t>match the vocab term with the definition</w:t>
      </w:r>
      <w:r w:rsidR="00E2552E">
        <w:rPr>
          <w:rFonts w:eastAsia="Times New Roman"/>
          <w:color w:val="000000" w:themeColor="text1"/>
          <w:lang w:val="en-US" w:bidi="ar-SA"/>
        </w:rPr>
        <w:t xml:space="preserve"> by writing the number of the definition next to the matching term.</w:t>
      </w:r>
    </w:p>
    <w:p w14:paraId="22E32DEA" w14:textId="18AB1A29" w:rsidR="00644854" w:rsidRPr="005944E7" w:rsidRDefault="005944E7" w:rsidP="00851581">
      <w:pPr>
        <w:pStyle w:val="BodyText"/>
        <w:numPr>
          <w:ilvl w:val="0"/>
          <w:numId w:val="2"/>
        </w:numPr>
      </w:pPr>
      <w:r>
        <w:rPr>
          <w:rFonts w:eastAsia="Times New Roman"/>
          <w:color w:val="000000" w:themeColor="text1"/>
          <w:lang w:val="en-US" w:bidi="ar-SA"/>
        </w:rPr>
        <w:t>You may not recognize some of these terms</w:t>
      </w:r>
      <w:r w:rsidR="00313E5D">
        <w:rPr>
          <w:rFonts w:eastAsia="Times New Roman"/>
          <w:color w:val="000000" w:themeColor="text1"/>
          <w:lang w:val="en-US" w:bidi="ar-SA"/>
        </w:rPr>
        <w:t xml:space="preserve">; </w:t>
      </w:r>
      <w:r>
        <w:rPr>
          <w:rFonts w:eastAsia="Times New Roman"/>
          <w:color w:val="000000" w:themeColor="text1"/>
          <w:lang w:val="en-US" w:bidi="ar-SA"/>
        </w:rPr>
        <w:t>try your best to match them using context and prior knowledge.</w:t>
      </w:r>
    </w:p>
    <w:p w14:paraId="1B7ACD13" w14:textId="77174951" w:rsidR="005944E7" w:rsidRPr="00AB69A6" w:rsidRDefault="005944E7" w:rsidP="00851581">
      <w:pPr>
        <w:pStyle w:val="BodyText"/>
        <w:numPr>
          <w:ilvl w:val="0"/>
          <w:numId w:val="2"/>
        </w:numPr>
      </w:pPr>
      <w:r>
        <w:rPr>
          <w:rFonts w:eastAsia="Times New Roman"/>
          <w:color w:val="000000" w:themeColor="text1"/>
          <w:lang w:val="en-US" w:bidi="ar-SA"/>
        </w:rPr>
        <w:t xml:space="preserve">Be prepared to share your answers and </w:t>
      </w:r>
      <w:r w:rsidR="00313E5D">
        <w:rPr>
          <w:rFonts w:eastAsia="Times New Roman"/>
          <w:color w:val="000000" w:themeColor="text1"/>
          <w:lang w:val="en-US" w:bidi="ar-SA"/>
        </w:rPr>
        <w:t xml:space="preserve">reasons </w:t>
      </w:r>
      <w:r>
        <w:rPr>
          <w:rFonts w:eastAsia="Times New Roman"/>
          <w:color w:val="000000" w:themeColor="text1"/>
          <w:lang w:val="en-US" w:bidi="ar-SA"/>
        </w:rPr>
        <w:t>for choosing the matching definition.</w:t>
      </w:r>
    </w:p>
    <w:p w14:paraId="2CA69C17" w14:textId="77777777" w:rsidR="00AB69A6" w:rsidRDefault="00AB69A6" w:rsidP="00AB69A6">
      <w:pPr>
        <w:pStyle w:val="BodyText"/>
        <w:sectPr w:rsidR="00AB69A6" w:rsidSect="00DB1E00">
          <w:headerReference w:type="default" r:id="rId7"/>
          <w:footerReference w:type="default" r:id="rId8"/>
          <w:pgSz w:w="12240" w:h="15840"/>
          <w:pgMar w:top="1790" w:right="1440" w:bottom="1440" w:left="1440" w:header="578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6115"/>
      </w:tblGrid>
      <w:tr w:rsidR="00AF352C" w14:paraId="7A09EAC0" w14:textId="77777777" w:rsidTr="00A51CB5">
        <w:tc>
          <w:tcPr>
            <w:tcW w:w="2875" w:type="dxa"/>
          </w:tcPr>
          <w:p w14:paraId="42F0DECE" w14:textId="6E83EA56" w:rsidR="00AF352C" w:rsidRDefault="00313E5D" w:rsidP="00AF352C">
            <w:pPr>
              <w:pStyle w:val="BodyText"/>
            </w:pPr>
            <w:r>
              <w:t>c</w:t>
            </w:r>
            <w:r w:rsidR="00EC4FFB">
              <w:t>aravan</w:t>
            </w:r>
          </w:p>
        </w:tc>
        <w:tc>
          <w:tcPr>
            <w:tcW w:w="6115" w:type="dxa"/>
          </w:tcPr>
          <w:p w14:paraId="2DA04F2B" w14:textId="2C4A346B" w:rsidR="00AF352C" w:rsidRDefault="0014501E" w:rsidP="00A51CB5">
            <w:pPr>
              <w:pStyle w:val="BodyText"/>
              <w:numPr>
                <w:ilvl w:val="0"/>
                <w:numId w:val="4"/>
              </w:numPr>
            </w:pPr>
            <w:r>
              <w:t>A</w:t>
            </w:r>
            <w:r w:rsidR="00E81A08">
              <w:t>n official in a</w:t>
            </w:r>
            <w:r>
              <w:t xml:space="preserve"> government </w:t>
            </w:r>
            <w:r w:rsidR="00E81A08">
              <w:t>office, especially one who follows rules and routines rather than personal judgment.</w:t>
            </w:r>
            <w:r>
              <w:t xml:space="preserve"> </w:t>
            </w:r>
          </w:p>
        </w:tc>
      </w:tr>
      <w:tr w:rsidR="00AF352C" w14:paraId="6709DE72" w14:textId="77777777" w:rsidTr="00A51CB5">
        <w:tc>
          <w:tcPr>
            <w:tcW w:w="2875" w:type="dxa"/>
          </w:tcPr>
          <w:p w14:paraId="697FC88D" w14:textId="55C1D93B" w:rsidR="00AF352C" w:rsidRDefault="00313E5D" w:rsidP="00C76FEC">
            <w:pPr>
              <w:pStyle w:val="BodyText"/>
            </w:pPr>
            <w:r>
              <w:t>f</w:t>
            </w:r>
            <w:r w:rsidR="00AF352C">
              <w:t>eudalism</w:t>
            </w:r>
          </w:p>
        </w:tc>
        <w:tc>
          <w:tcPr>
            <w:tcW w:w="6115" w:type="dxa"/>
          </w:tcPr>
          <w:p w14:paraId="663DAC5A" w14:textId="41DFEB56" w:rsidR="00AF352C" w:rsidRDefault="00C26036" w:rsidP="00A51CB5">
            <w:pPr>
              <w:pStyle w:val="BodyText"/>
              <w:numPr>
                <w:ilvl w:val="0"/>
                <w:numId w:val="4"/>
              </w:numPr>
            </w:pPr>
            <w:r>
              <w:t>Free and independent, as a state or an organism; self-governing.</w:t>
            </w:r>
          </w:p>
        </w:tc>
      </w:tr>
      <w:tr w:rsidR="00AF352C" w14:paraId="052A3085" w14:textId="77777777" w:rsidTr="00A51CB5">
        <w:tc>
          <w:tcPr>
            <w:tcW w:w="2875" w:type="dxa"/>
          </w:tcPr>
          <w:p w14:paraId="00A7AEE2" w14:textId="08B78D2B" w:rsidR="00AF352C" w:rsidRDefault="00313E5D" w:rsidP="00C76FEC">
            <w:pPr>
              <w:pStyle w:val="BodyText"/>
            </w:pPr>
            <w:r>
              <w:t>c</w:t>
            </w:r>
            <w:r w:rsidR="00AF352C">
              <w:t>hronology</w:t>
            </w:r>
          </w:p>
        </w:tc>
        <w:tc>
          <w:tcPr>
            <w:tcW w:w="6115" w:type="dxa"/>
          </w:tcPr>
          <w:p w14:paraId="3BECC40E" w14:textId="169F268C" w:rsidR="00AF352C" w:rsidRDefault="00574D69" w:rsidP="00A51CB5">
            <w:pPr>
              <w:pStyle w:val="BodyText"/>
              <w:numPr>
                <w:ilvl w:val="0"/>
                <w:numId w:val="4"/>
              </w:numPr>
            </w:pPr>
            <w:r>
              <w:t>The</w:t>
            </w:r>
            <w:r w:rsidR="006702BC">
              <w:t xml:space="preserve"> pilgrimage to Mecca </w:t>
            </w:r>
            <w:r>
              <w:t xml:space="preserve">that every Muslim is expected to make at least once </w:t>
            </w:r>
            <w:r w:rsidR="006702BC">
              <w:t>during Dhul al-Hijjah.</w:t>
            </w:r>
          </w:p>
        </w:tc>
      </w:tr>
      <w:tr w:rsidR="00AF352C" w14:paraId="1DFD8975" w14:textId="77777777" w:rsidTr="00A51CB5">
        <w:tc>
          <w:tcPr>
            <w:tcW w:w="2875" w:type="dxa"/>
          </w:tcPr>
          <w:p w14:paraId="3E941EAE" w14:textId="04AF7135" w:rsidR="00AF352C" w:rsidRDefault="00313E5D" w:rsidP="00C76FEC">
            <w:pPr>
              <w:pStyle w:val="BodyText"/>
            </w:pPr>
            <w:r>
              <w:t>h</w:t>
            </w:r>
            <w:r w:rsidR="00AF352C">
              <w:t>ajj</w:t>
            </w:r>
          </w:p>
        </w:tc>
        <w:tc>
          <w:tcPr>
            <w:tcW w:w="6115" w:type="dxa"/>
          </w:tcPr>
          <w:p w14:paraId="5369D42C" w14:textId="327F970F" w:rsidR="00AF352C" w:rsidRDefault="00CB3328" w:rsidP="00A51CB5">
            <w:pPr>
              <w:pStyle w:val="BodyText"/>
              <w:numPr>
                <w:ilvl w:val="0"/>
                <w:numId w:val="4"/>
              </w:numPr>
            </w:pPr>
            <w:r>
              <w:t>A band of people traveling together for safety, especially across a desert.</w:t>
            </w:r>
          </w:p>
        </w:tc>
      </w:tr>
      <w:tr w:rsidR="00AF352C" w14:paraId="513075D8" w14:textId="77777777" w:rsidTr="00A51CB5">
        <w:tc>
          <w:tcPr>
            <w:tcW w:w="2875" w:type="dxa"/>
          </w:tcPr>
          <w:p w14:paraId="228F0F71" w14:textId="5996B5C6" w:rsidR="00AF352C" w:rsidRDefault="00313E5D" w:rsidP="00C76FEC">
            <w:pPr>
              <w:pStyle w:val="BodyText"/>
            </w:pPr>
            <w:r>
              <w:t>a</w:t>
            </w:r>
            <w:r w:rsidR="00AF352C">
              <w:t>utonomous</w:t>
            </w:r>
          </w:p>
        </w:tc>
        <w:tc>
          <w:tcPr>
            <w:tcW w:w="6115" w:type="dxa"/>
          </w:tcPr>
          <w:p w14:paraId="655035E5" w14:textId="6CE2AC71" w:rsidR="00AF352C" w:rsidRDefault="0038218E" w:rsidP="00A51CB5">
            <w:pPr>
              <w:pStyle w:val="BodyText"/>
              <w:numPr>
                <w:ilvl w:val="0"/>
                <w:numId w:val="4"/>
              </w:numPr>
            </w:pPr>
            <w:r>
              <w:t>A disaster with widespread effects.</w:t>
            </w:r>
          </w:p>
        </w:tc>
      </w:tr>
      <w:tr w:rsidR="00AF352C" w14:paraId="5B2AA251" w14:textId="77777777" w:rsidTr="00A51CB5">
        <w:tc>
          <w:tcPr>
            <w:tcW w:w="2875" w:type="dxa"/>
          </w:tcPr>
          <w:p w14:paraId="4B25CFA3" w14:textId="05C85DA0" w:rsidR="00AF352C" w:rsidRDefault="00313E5D" w:rsidP="00C76FEC">
            <w:pPr>
              <w:pStyle w:val="BodyText"/>
            </w:pPr>
            <w:r>
              <w:t>c</w:t>
            </w:r>
            <w:r w:rsidR="00AF352C">
              <w:t>atastrophe</w:t>
            </w:r>
          </w:p>
        </w:tc>
        <w:tc>
          <w:tcPr>
            <w:tcW w:w="6115" w:type="dxa"/>
          </w:tcPr>
          <w:p w14:paraId="049B76D6" w14:textId="1421D978" w:rsidR="00AF352C" w:rsidRDefault="005B49D4" w:rsidP="00A51CB5">
            <w:pPr>
              <w:pStyle w:val="BodyText"/>
              <w:numPr>
                <w:ilvl w:val="0"/>
                <w:numId w:val="4"/>
              </w:numPr>
            </w:pPr>
            <w:r>
              <w:t>A system of economic and political organization, as in Europe in the Middle Ages, in which one person would pledge to support another person</w:t>
            </w:r>
            <w:r w:rsidR="007A69C2">
              <w:t xml:space="preserve">; for example, a knight might pledge to fight when needed in exchange for land from the king. </w:t>
            </w:r>
          </w:p>
        </w:tc>
      </w:tr>
      <w:tr w:rsidR="00AF352C" w14:paraId="6D1A6942" w14:textId="77777777" w:rsidTr="00A51CB5">
        <w:tc>
          <w:tcPr>
            <w:tcW w:w="2875" w:type="dxa"/>
          </w:tcPr>
          <w:p w14:paraId="0DA1EE92" w14:textId="59EC0818" w:rsidR="00AF352C" w:rsidRDefault="00AF352C" w:rsidP="00C76FEC">
            <w:pPr>
              <w:pStyle w:val="BodyText"/>
            </w:pPr>
            <w:r>
              <w:t xml:space="preserve">Monsoon </w:t>
            </w:r>
            <w:r w:rsidR="006B1718">
              <w:t>M</w:t>
            </w:r>
            <w:r>
              <w:t>arketplace</w:t>
            </w:r>
          </w:p>
        </w:tc>
        <w:tc>
          <w:tcPr>
            <w:tcW w:w="6115" w:type="dxa"/>
          </w:tcPr>
          <w:p w14:paraId="184A1528" w14:textId="2DEDA943" w:rsidR="00AF352C" w:rsidRDefault="00635937" w:rsidP="00A51CB5">
            <w:pPr>
              <w:pStyle w:val="BodyText"/>
              <w:numPr>
                <w:ilvl w:val="0"/>
                <w:numId w:val="4"/>
              </w:numPr>
            </w:pPr>
            <w:r>
              <w:t>A n</w:t>
            </w:r>
            <w:r w:rsidR="00BE7EA2">
              <w:t xml:space="preserve">etwork of </w:t>
            </w:r>
            <w:r>
              <w:t xml:space="preserve">Indian Ocean </w:t>
            </w:r>
            <w:r w:rsidR="00BE7EA2">
              <w:t xml:space="preserve">trade routes </w:t>
            </w:r>
            <w:r>
              <w:t>that connected people, goods, and ideas.</w:t>
            </w:r>
          </w:p>
        </w:tc>
      </w:tr>
      <w:tr w:rsidR="00AF352C" w14:paraId="5EBC56BB" w14:textId="77777777" w:rsidTr="00A51CB5">
        <w:tc>
          <w:tcPr>
            <w:tcW w:w="2875" w:type="dxa"/>
          </w:tcPr>
          <w:p w14:paraId="2944FEFE" w14:textId="72BC7DCB" w:rsidR="00AF352C" w:rsidRDefault="00313E5D" w:rsidP="00C76FEC">
            <w:pPr>
              <w:pStyle w:val="BodyText"/>
            </w:pPr>
            <w:r>
              <w:t>b</w:t>
            </w:r>
            <w:r w:rsidR="00AF352C">
              <w:t>ureaucrat</w:t>
            </w:r>
          </w:p>
        </w:tc>
        <w:tc>
          <w:tcPr>
            <w:tcW w:w="6115" w:type="dxa"/>
          </w:tcPr>
          <w:p w14:paraId="56F70D0C" w14:textId="7F8E1814" w:rsidR="00AF352C" w:rsidRDefault="0038218E" w:rsidP="00E2552E">
            <w:pPr>
              <w:pStyle w:val="BodyText"/>
              <w:numPr>
                <w:ilvl w:val="0"/>
                <w:numId w:val="4"/>
              </w:numPr>
            </w:pPr>
            <w:r>
              <w:t>The o</w:t>
            </w:r>
            <w:r w:rsidR="00916E75">
              <w:t>rder of events in time.</w:t>
            </w:r>
          </w:p>
        </w:tc>
      </w:tr>
      <w:tr w:rsidR="00AF352C" w14:paraId="14284CFA" w14:textId="77777777" w:rsidTr="00A51CB5">
        <w:tc>
          <w:tcPr>
            <w:tcW w:w="2875" w:type="dxa"/>
          </w:tcPr>
          <w:p w14:paraId="11449955" w14:textId="4432B734" w:rsidR="00AF352C" w:rsidRDefault="00313E5D" w:rsidP="00C76FEC">
            <w:pPr>
              <w:pStyle w:val="BodyText"/>
            </w:pPr>
            <w:r>
              <w:t>p</w:t>
            </w:r>
            <w:r w:rsidR="006A5E16">
              <w:t>atronage</w:t>
            </w:r>
          </w:p>
        </w:tc>
        <w:tc>
          <w:tcPr>
            <w:tcW w:w="6115" w:type="dxa"/>
          </w:tcPr>
          <w:p w14:paraId="0FBB0129" w14:textId="0615AFD2" w:rsidR="00AF352C" w:rsidRDefault="00196EF6" w:rsidP="00E2552E">
            <w:pPr>
              <w:pStyle w:val="BodyText"/>
              <w:numPr>
                <w:ilvl w:val="0"/>
                <w:numId w:val="4"/>
              </w:numPr>
            </w:pPr>
            <w:r>
              <w:t xml:space="preserve">A </w:t>
            </w:r>
            <w:r w:rsidR="006A5E16">
              <w:t>200-year</w:t>
            </w:r>
            <w:r>
              <w:t>-long period in</w:t>
            </w:r>
            <w:r w:rsidR="006A5E16">
              <w:t xml:space="preserve"> Roman </w:t>
            </w:r>
            <w:r>
              <w:t>history</w:t>
            </w:r>
            <w:r w:rsidR="006A5E16">
              <w:t xml:space="preserve"> </w:t>
            </w:r>
            <w:r w:rsidR="00A4237B">
              <w:t xml:space="preserve">during </w:t>
            </w:r>
            <w:r>
              <w:t xml:space="preserve">which </w:t>
            </w:r>
            <w:r w:rsidR="00A4237B">
              <w:t>the empire</w:t>
            </w:r>
            <w:r>
              <w:t xml:space="preserve"> experienced</w:t>
            </w:r>
            <w:r w:rsidR="006A5E16">
              <w:t xml:space="preserve"> relative peace.</w:t>
            </w:r>
          </w:p>
        </w:tc>
      </w:tr>
      <w:tr w:rsidR="00AF352C" w14:paraId="4425A486" w14:textId="77777777" w:rsidTr="00A51CB5">
        <w:tc>
          <w:tcPr>
            <w:tcW w:w="2875" w:type="dxa"/>
          </w:tcPr>
          <w:p w14:paraId="38E0A0B5" w14:textId="4FD9BF30" w:rsidR="00AF352C" w:rsidRDefault="00AF352C" w:rsidP="00C76FEC">
            <w:pPr>
              <w:pStyle w:val="BodyText"/>
            </w:pPr>
            <w:r>
              <w:t>Pax Romana</w:t>
            </w:r>
          </w:p>
        </w:tc>
        <w:tc>
          <w:tcPr>
            <w:tcW w:w="6115" w:type="dxa"/>
          </w:tcPr>
          <w:p w14:paraId="1C820C7C" w14:textId="4DD77299" w:rsidR="00AF352C" w:rsidRDefault="006A5E16" w:rsidP="00E2552E">
            <w:pPr>
              <w:pStyle w:val="BodyText"/>
              <w:numPr>
                <w:ilvl w:val="0"/>
                <w:numId w:val="4"/>
              </w:numPr>
            </w:pPr>
            <w:r>
              <w:t xml:space="preserve">The support, guardianship, or sponsorship provided </w:t>
            </w:r>
            <w:r w:rsidR="008C1E63">
              <w:t>to artistic endeavors, museums, and the like.</w:t>
            </w:r>
          </w:p>
        </w:tc>
      </w:tr>
    </w:tbl>
    <w:p w14:paraId="03BF24D9" w14:textId="77777777" w:rsidR="008C43BA" w:rsidRPr="00851581" w:rsidRDefault="008C43BA" w:rsidP="008C43BA">
      <w:pPr>
        <w:pStyle w:val="BodyText"/>
      </w:pPr>
    </w:p>
    <w:sectPr w:rsidR="008C43BA" w:rsidRPr="00851581" w:rsidSect="00DB1E00">
      <w:type w:val="continuous"/>
      <w:pgSz w:w="12240" w:h="15840"/>
      <w:pgMar w:top="179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6770" w14:textId="77777777" w:rsidR="00A974CB" w:rsidRDefault="00A974CB" w:rsidP="00697515">
      <w:pPr>
        <w:spacing w:after="0"/>
      </w:pPr>
      <w:r>
        <w:separator/>
      </w:r>
    </w:p>
  </w:endnote>
  <w:endnote w:type="continuationSeparator" w:id="0">
    <w:p w14:paraId="56C96152" w14:textId="77777777" w:rsidR="00A974CB" w:rsidRDefault="00A974CB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5520E60A" w:rsidR="00746C55" w:rsidRDefault="00B73B9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257C7" wp14:editId="18E933C7">
              <wp:simplePos x="0" y="0"/>
              <wp:positionH relativeFrom="column">
                <wp:posOffset>-856648</wp:posOffset>
              </wp:positionH>
              <wp:positionV relativeFrom="paragraph">
                <wp:posOffset>212524</wp:posOffset>
              </wp:positionV>
              <wp:extent cx="7628021" cy="259883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598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7C529B" w14:textId="7E9921A8" w:rsidR="00746C55" w:rsidRPr="008504AE" w:rsidRDefault="007B1998" w:rsidP="00B95CC9">
                          <w:pPr>
                            <w:pStyle w:val="CCFooter"/>
                          </w:pPr>
                          <w:r w:rsidRPr="008504AE">
                            <w:t xml:space="preserve">Unless otherwise noted, this work is licensed under </w:t>
                          </w:r>
                          <w:hyperlink r:id="rId1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CC BY 4.0</w:t>
                            </w:r>
                          </w:hyperlink>
                          <w:r w:rsidRPr="008504AE">
                            <w:t>. Credit: “</w:t>
                          </w:r>
                          <w:r w:rsidR="00A32E5F">
                            <w:t>Opener—Vocabulary Match-Up</w:t>
                          </w:r>
                          <w:r w:rsidRPr="008504AE">
                            <w:t xml:space="preserve">”, OER Project, </w:t>
                          </w:r>
                          <w:hyperlink r:id="rId2" w:history="1">
                            <w:r w:rsidRPr="008504AE">
                              <w:rPr>
                                <w:rStyle w:val="Hyperlink"/>
                                <w:color w:val="auto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257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45pt;margin-top:16.75pt;width:600.6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" filled="f" stroked="f" strokeweight=".5pt">
              <v:textbox>
                <w:txbxContent>
                  <w:p w14:paraId="657C529B" w14:textId="7E9921A8" w:rsidR="00746C55" w:rsidRPr="008504AE" w:rsidRDefault="007B1998" w:rsidP="00B95CC9">
                    <w:pPr>
                      <w:pStyle w:val="CCFooter"/>
                    </w:pPr>
                    <w:r w:rsidRPr="008504AE">
                      <w:t xml:space="preserve">Unless otherwise noted, this work is licensed under </w:t>
                    </w:r>
                    <w:hyperlink r:id="rId3" w:history="1">
                      <w:r w:rsidRPr="008504AE">
                        <w:rPr>
                          <w:rStyle w:val="Hyperlink"/>
                          <w:color w:val="auto"/>
                        </w:rPr>
                        <w:t>CC BY 4.0</w:t>
                      </w:r>
                    </w:hyperlink>
                    <w:r w:rsidRPr="008504AE">
                      <w:t>. Credit: “</w:t>
                    </w:r>
                    <w:r w:rsidR="00A32E5F">
                      <w:t>Opener—Vocabulary Match-Up</w:t>
                    </w:r>
                    <w:r w:rsidRPr="008504AE">
                      <w:t xml:space="preserve">”, OER Project, </w:t>
                    </w:r>
                    <w:hyperlink r:id="rId4" w:history="1">
                      <w:r w:rsidRPr="008504AE">
                        <w:rPr>
                          <w:rStyle w:val="Hyperlink"/>
                          <w:color w:val="auto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B1998">
      <w:rPr>
        <w:noProof/>
      </w:rPr>
      <w:drawing>
        <wp:anchor distT="0" distB="0" distL="114300" distR="114300" simplePos="0" relativeHeight="251660288" behindDoc="1" locked="0" layoutInCell="1" allowOverlap="1" wp14:anchorId="1A030B03" wp14:editId="01CA2F2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0FBA" w14:textId="77777777" w:rsidR="00A974CB" w:rsidRDefault="00A974CB" w:rsidP="00697515">
      <w:pPr>
        <w:spacing w:after="0"/>
      </w:pPr>
      <w:r>
        <w:separator/>
      </w:r>
    </w:p>
  </w:footnote>
  <w:footnote w:type="continuationSeparator" w:id="0">
    <w:p w14:paraId="057988E6" w14:textId="77777777" w:rsidR="00A974CB" w:rsidRDefault="00A974CB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6FFF" w14:textId="347A540E" w:rsidR="00746C55" w:rsidRPr="005E789C" w:rsidRDefault="007B1998" w:rsidP="00F65964">
    <w:pPr>
      <w:pStyle w:val="Header-CPLessonNumber"/>
      <w:rPr>
        <w:color w:val="000000" w:themeColor="text1"/>
        <w:lang w:val="en-US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DFA7E5" id="Rectangle 5" o:spid="_x0000_s1026" style="position:absolute;margin-left:-252.45pt;margin-top:.85pt;width:801.65pt;height:75.1pt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="000D5642" w:rsidRPr="005E789C">
      <w:rPr>
        <w:lang w:val="en-US"/>
      </w:rPr>
      <w:t xml:space="preserve"> </w:t>
    </w:r>
    <w:r w:rsidR="000D5642" w:rsidRPr="005E789C">
      <w:rPr>
        <w:color w:val="000000" w:themeColor="text1"/>
        <w:sz w:val="21"/>
        <w:szCs w:val="56"/>
        <w:lang w:val="en-US"/>
      </w:rPr>
      <w:t xml:space="preserve">WHP ORIGINS / LESSON </w:t>
    </w:r>
    <w:r w:rsidR="00CC28D5">
      <w:rPr>
        <w:color w:val="000000" w:themeColor="text1"/>
        <w:sz w:val="21"/>
        <w:szCs w:val="56"/>
        <w:lang w:val="en-US"/>
      </w:rPr>
      <w:t>5.1</w:t>
    </w:r>
    <w:r w:rsidR="000D5642" w:rsidRPr="005E789C">
      <w:rPr>
        <w:color w:val="000000" w:themeColor="text1"/>
        <w:sz w:val="21"/>
        <w:szCs w:val="56"/>
        <w:lang w:val="en-US"/>
      </w:rPr>
      <w:t xml:space="preserve"> </w:t>
    </w:r>
  </w:p>
  <w:p w14:paraId="1C0F833F" w14:textId="79C8F00F" w:rsidR="00746C55" w:rsidRPr="005E789C" w:rsidRDefault="005E789C" w:rsidP="00CD0494">
    <w:pPr>
      <w:pStyle w:val="Title"/>
      <w:rPr>
        <w:color w:val="000000" w:themeColor="text1"/>
        <w:sz w:val="36"/>
        <w:szCs w:val="52"/>
      </w:rPr>
    </w:pPr>
    <w:r w:rsidRPr="005E789C">
      <w:rPr>
        <w:color w:val="000000" w:themeColor="text1"/>
        <w:sz w:val="36"/>
        <w:szCs w:val="52"/>
      </w:rPr>
      <w:t>OPENER</w:t>
    </w:r>
    <w:r w:rsidR="007B1998" w:rsidRPr="005E789C">
      <w:rPr>
        <w:color w:val="000000" w:themeColor="text1"/>
        <w:sz w:val="36"/>
        <w:szCs w:val="52"/>
      </w:rPr>
      <w:t>—</w:t>
    </w:r>
    <w:r w:rsidR="00CC28D5">
      <w:rPr>
        <w:color w:val="000000" w:themeColor="text1"/>
        <w:sz w:val="36"/>
        <w:szCs w:val="52"/>
      </w:rPr>
      <w:t>VOCABULARY MATCH-UP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39E9"/>
    <w:multiLevelType w:val="hybridMultilevel"/>
    <w:tmpl w:val="CC72A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9260F3"/>
    <w:multiLevelType w:val="hybridMultilevel"/>
    <w:tmpl w:val="61B82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7288485">
    <w:abstractNumId w:val="1"/>
  </w:num>
  <w:num w:numId="2" w16cid:durableId="1127238584">
    <w:abstractNumId w:val="0"/>
  </w:num>
  <w:num w:numId="3" w16cid:durableId="1186754707">
    <w:abstractNumId w:val="2"/>
  </w:num>
  <w:num w:numId="4" w16cid:durableId="9918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6C2A"/>
    <w:rsid w:val="0003277D"/>
    <w:rsid w:val="00070ADB"/>
    <w:rsid w:val="000D5563"/>
    <w:rsid w:val="000D5642"/>
    <w:rsid w:val="00105A6A"/>
    <w:rsid w:val="0014501E"/>
    <w:rsid w:val="00177F1D"/>
    <w:rsid w:val="00190143"/>
    <w:rsid w:val="00196EF6"/>
    <w:rsid w:val="001A5D22"/>
    <w:rsid w:val="001C3D81"/>
    <w:rsid w:val="001F1179"/>
    <w:rsid w:val="00204B87"/>
    <w:rsid w:val="002619D7"/>
    <w:rsid w:val="00273460"/>
    <w:rsid w:val="00293BCC"/>
    <w:rsid w:val="002D674A"/>
    <w:rsid w:val="002F1536"/>
    <w:rsid w:val="002F1A0D"/>
    <w:rsid w:val="00313E5D"/>
    <w:rsid w:val="00314FE1"/>
    <w:rsid w:val="0038218E"/>
    <w:rsid w:val="00407CC6"/>
    <w:rsid w:val="00415402"/>
    <w:rsid w:val="005251B5"/>
    <w:rsid w:val="00574D69"/>
    <w:rsid w:val="005944E7"/>
    <w:rsid w:val="005B10EC"/>
    <w:rsid w:val="005B49D4"/>
    <w:rsid w:val="005D1547"/>
    <w:rsid w:val="005E789C"/>
    <w:rsid w:val="005F3846"/>
    <w:rsid w:val="00623EDB"/>
    <w:rsid w:val="00635937"/>
    <w:rsid w:val="00640875"/>
    <w:rsid w:val="006427FA"/>
    <w:rsid w:val="00644854"/>
    <w:rsid w:val="006702BC"/>
    <w:rsid w:val="00673524"/>
    <w:rsid w:val="00697515"/>
    <w:rsid w:val="006A5E16"/>
    <w:rsid w:val="006B1718"/>
    <w:rsid w:val="006D52CA"/>
    <w:rsid w:val="00736510"/>
    <w:rsid w:val="00746C55"/>
    <w:rsid w:val="007569CC"/>
    <w:rsid w:val="00762E36"/>
    <w:rsid w:val="007A69C2"/>
    <w:rsid w:val="007B1998"/>
    <w:rsid w:val="007C554A"/>
    <w:rsid w:val="0084157E"/>
    <w:rsid w:val="00846CA1"/>
    <w:rsid w:val="008504AE"/>
    <w:rsid w:val="00851581"/>
    <w:rsid w:val="008C1E63"/>
    <w:rsid w:val="008C43BA"/>
    <w:rsid w:val="008E69D3"/>
    <w:rsid w:val="008F3B20"/>
    <w:rsid w:val="00916E75"/>
    <w:rsid w:val="0094659C"/>
    <w:rsid w:val="009E2940"/>
    <w:rsid w:val="00A272B5"/>
    <w:rsid w:val="00A32E5F"/>
    <w:rsid w:val="00A4237B"/>
    <w:rsid w:val="00A51CB5"/>
    <w:rsid w:val="00A612D8"/>
    <w:rsid w:val="00A974CB"/>
    <w:rsid w:val="00AA0641"/>
    <w:rsid w:val="00AA42D5"/>
    <w:rsid w:val="00AB69A6"/>
    <w:rsid w:val="00AE2D5E"/>
    <w:rsid w:val="00AF352C"/>
    <w:rsid w:val="00B316B5"/>
    <w:rsid w:val="00B56500"/>
    <w:rsid w:val="00B73B9B"/>
    <w:rsid w:val="00BC6374"/>
    <w:rsid w:val="00BD161A"/>
    <w:rsid w:val="00BE7EA2"/>
    <w:rsid w:val="00C26036"/>
    <w:rsid w:val="00C26DE2"/>
    <w:rsid w:val="00C41099"/>
    <w:rsid w:val="00C76FEC"/>
    <w:rsid w:val="00C9236A"/>
    <w:rsid w:val="00CB3328"/>
    <w:rsid w:val="00CC0164"/>
    <w:rsid w:val="00CC28D5"/>
    <w:rsid w:val="00CD2F6A"/>
    <w:rsid w:val="00D21BC9"/>
    <w:rsid w:val="00D50AB4"/>
    <w:rsid w:val="00D616C5"/>
    <w:rsid w:val="00D9573C"/>
    <w:rsid w:val="00DA0A22"/>
    <w:rsid w:val="00DB0B78"/>
    <w:rsid w:val="00DB1E00"/>
    <w:rsid w:val="00DC4C12"/>
    <w:rsid w:val="00DF7ED0"/>
    <w:rsid w:val="00E064FB"/>
    <w:rsid w:val="00E2552E"/>
    <w:rsid w:val="00E325D8"/>
    <w:rsid w:val="00E33E83"/>
    <w:rsid w:val="00E66008"/>
    <w:rsid w:val="00E81A08"/>
    <w:rsid w:val="00EA1F6E"/>
    <w:rsid w:val="00EB018E"/>
    <w:rsid w:val="00EC4FFB"/>
    <w:rsid w:val="00ED5F28"/>
    <w:rsid w:val="00F3693C"/>
    <w:rsid w:val="00F55A27"/>
    <w:rsid w:val="00FD27F9"/>
    <w:rsid w:val="00FE5F40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F3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Bridgette O’Connor</cp:lastModifiedBy>
  <cp:revision>2</cp:revision>
  <cp:lastPrinted>2023-11-09T20:37:00Z</cp:lastPrinted>
  <dcterms:created xsi:type="dcterms:W3CDTF">2024-06-08T22:16:00Z</dcterms:created>
  <dcterms:modified xsi:type="dcterms:W3CDTF">2024-06-08T22:16:00Z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