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D9DBE82" w14:textId="77777777" w:rsidTr="00B61D4C">
        <w:trPr>
          <w:cantSplit/>
        </w:trPr>
        <w:tc>
          <w:tcPr>
            <w:tcW w:w="766" w:type="dxa"/>
            <w:tcBorders>
              <w:top w:val="nil"/>
              <w:left w:val="nil"/>
              <w:bottom w:val="nil"/>
              <w:right w:val="single" w:sz="4" w:space="0" w:color="auto"/>
            </w:tcBorders>
            <w:vAlign w:val="center"/>
          </w:tcPr>
          <w:p w14:paraId="2965CC60"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15E46BB"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58CC553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1ED09CD" w14:textId="77777777" w:rsidR="00B61D4C" w:rsidRPr="002B34FE" w:rsidRDefault="00B61D4C" w:rsidP="0062454E">
            <w:pPr>
              <w:pStyle w:val="StudentNameDate"/>
              <w:rPr>
                <w:lang w:val="en-US"/>
              </w:rPr>
            </w:pPr>
          </w:p>
        </w:tc>
      </w:tr>
    </w:tbl>
    <w:p w14:paraId="43D122EA" w14:textId="77777777" w:rsidR="00BF7848" w:rsidRPr="00BF7848" w:rsidRDefault="00BF7848" w:rsidP="00BF7848">
      <w:pPr>
        <w:pStyle w:val="Heading2"/>
        <w:rPr>
          <w:lang w:val="en-US"/>
        </w:rPr>
      </w:pPr>
      <w:r w:rsidRPr="00BF7848">
        <w:rPr>
          <w:lang w:val="en-US"/>
        </w:rPr>
        <w:t>Preparation</w:t>
      </w:r>
    </w:p>
    <w:p w14:paraId="493544FF" w14:textId="3373C842" w:rsidR="00BF7848" w:rsidRPr="00BF7848" w:rsidRDefault="00BF7848" w:rsidP="00BF7848">
      <w:pPr>
        <w:pStyle w:val="Bullets"/>
      </w:pPr>
      <w:r w:rsidRPr="00BF7848">
        <w:t xml:space="preserve">Download the </w:t>
      </w:r>
      <w:hyperlink r:id="rId8" w:history="1">
        <w:r w:rsidRPr="00BF7848">
          <w:rPr>
            <w:rStyle w:val="Hyperlink"/>
          </w:rPr>
          <w:t>WHP Writing Rubric</w:t>
        </w:r>
      </w:hyperlink>
    </w:p>
    <w:p w14:paraId="1BA4CA3F" w14:textId="77777777" w:rsidR="00BF7848" w:rsidRPr="00BF7848" w:rsidRDefault="00BF7848" w:rsidP="00BF7848">
      <w:pPr>
        <w:pStyle w:val="Bullets"/>
      </w:pPr>
      <w:r w:rsidRPr="00BF7848">
        <w:t>Download the Sentence Starters worksheet (optional)</w:t>
      </w:r>
    </w:p>
    <w:p w14:paraId="57A2748A" w14:textId="0B57DAE0" w:rsidR="00DA1410" w:rsidRPr="002B34FE" w:rsidRDefault="00DA1410" w:rsidP="00B36D3E">
      <w:pPr>
        <w:pStyle w:val="Heading2"/>
        <w:rPr>
          <w:lang w:val="en-US"/>
        </w:rPr>
      </w:pPr>
      <w:r w:rsidRPr="002B34FE">
        <w:rPr>
          <w:lang w:val="en-US"/>
        </w:rPr>
        <w:t>Purpose</w:t>
      </w:r>
    </w:p>
    <w:p w14:paraId="0E2239C4" w14:textId="375EA0BD" w:rsidR="0048039D" w:rsidRPr="002B34FE" w:rsidRDefault="00BF7848" w:rsidP="00BF7848">
      <w:pPr>
        <w:pStyle w:val="BodyText"/>
      </w:pPr>
      <w:r w:rsidRPr="00BF7848">
        <w:rPr>
          <w:lang w:val="en-US"/>
        </w:rPr>
        <w:t xml:space="preserve">As you did in the last writing activity, you will identify and revise aspects of a student-written essay to improve it. Specifically, you’ll look at the Analysis and Evidence row of the WHP Writing Rubric. As with all the writing progression activities, the goal is to help you improve your writing </w:t>
      </w:r>
      <w:proofErr w:type="gramStart"/>
      <w:r w:rsidRPr="00BF7848">
        <w:rPr>
          <w:lang w:val="en-US"/>
        </w:rPr>
        <w:t>skills</w:t>
      </w:r>
      <w:proofErr w:type="gramEnd"/>
      <w:r w:rsidRPr="00BF7848">
        <w:rPr>
          <w:lang w:val="en-US"/>
        </w:rPr>
        <w:t xml:space="preserve"> so you are able to clearly communicate your position on different topics.</w:t>
      </w:r>
    </w:p>
    <w:p w14:paraId="520ED83D" w14:textId="77777777" w:rsidR="00DA1410" w:rsidRPr="002B34FE" w:rsidRDefault="00DA1410" w:rsidP="00B36D3E">
      <w:pPr>
        <w:pStyle w:val="Heading2"/>
        <w:rPr>
          <w:lang w:val="en-US"/>
        </w:rPr>
      </w:pPr>
      <w:r w:rsidRPr="002B34FE">
        <w:rPr>
          <w:lang w:val="en-US"/>
        </w:rPr>
        <w:t>Process</w:t>
      </w:r>
    </w:p>
    <w:p w14:paraId="7B66B4E7" w14:textId="77777777" w:rsidR="00BF7848" w:rsidRPr="00BF7848" w:rsidRDefault="00BF7848" w:rsidP="00BF7848">
      <w:pPr>
        <w:pStyle w:val="ListParagraph"/>
        <w:rPr>
          <w:lang w:val="en-US" w:bidi="ar-SA"/>
        </w:rPr>
      </w:pPr>
      <w:r w:rsidRPr="00BF7848">
        <w:rPr>
          <w:lang w:val="en-US" w:bidi="ar-SA"/>
        </w:rPr>
        <w:t xml:space="preserve">This activity will be </w:t>
      </w:r>
      <w:proofErr w:type="gramStart"/>
      <w:r w:rsidRPr="00BF7848">
        <w:rPr>
          <w:lang w:val="en-US" w:bidi="ar-SA"/>
        </w:rPr>
        <w:t>similar to</w:t>
      </w:r>
      <w:proofErr w:type="gramEnd"/>
      <w:r w:rsidRPr="00BF7848">
        <w:rPr>
          <w:lang w:val="en-US" w:bidi="ar-SA"/>
        </w:rPr>
        <w:t xml:space="preserve"> the one you did in Unit 5, where you revised a student essay for claim and focus. This time, you will evaluate the use of analysis and evidence in a student essay that was written in response to the prompt: “Develop an argument that evaluates the extent to which states responded to societal and state collapse after the fall of the Roman Empire and Han Dynasty China up to c. 1200 CE.”</w:t>
      </w:r>
    </w:p>
    <w:p w14:paraId="2E36F875" w14:textId="77777777" w:rsidR="00BF7848" w:rsidRPr="00BF7848" w:rsidRDefault="00BF7848" w:rsidP="00BF7848">
      <w:pPr>
        <w:pStyle w:val="ListParagraph"/>
        <w:rPr>
          <w:lang w:val="en-US" w:bidi="ar-SA"/>
        </w:rPr>
      </w:pPr>
      <w:r w:rsidRPr="00BF7848">
        <w:rPr>
          <w:lang w:val="en-US" w:bidi="ar-SA"/>
        </w:rPr>
        <w:t>As needed, review the criteria for these sections of the rubric with your class.</w:t>
      </w:r>
    </w:p>
    <w:p w14:paraId="0DE661C5" w14:textId="77777777" w:rsidR="00BF7848" w:rsidRPr="00BF7848" w:rsidRDefault="00BF7848" w:rsidP="00BF7848">
      <w:pPr>
        <w:pStyle w:val="ListParagraph"/>
        <w:rPr>
          <w:lang w:val="en-US" w:bidi="ar-SA"/>
        </w:rPr>
      </w:pPr>
      <w:r w:rsidRPr="00BF7848">
        <w:rPr>
          <w:lang w:val="en-US" w:bidi="ar-SA"/>
        </w:rPr>
        <w:t>Remember that an essay should cite the most appropriate and valid evidence from multiple documents to support its major claim and refute counterclaims. It should show the writer’s reasoning, their ability to understand the sources, and should fully explain the relationship between the claims and support.</w:t>
      </w:r>
    </w:p>
    <w:p w14:paraId="5A417E0F" w14:textId="77777777" w:rsidR="00BF7848" w:rsidRPr="00BF7848" w:rsidRDefault="00BF7848" w:rsidP="00BF7848">
      <w:pPr>
        <w:pStyle w:val="ListParagraph"/>
        <w:rPr>
          <w:lang w:val="en-US" w:bidi="ar-SA"/>
        </w:rPr>
      </w:pPr>
      <w:r w:rsidRPr="00BF7848">
        <w:rPr>
          <w:lang w:val="en-US" w:bidi="ar-SA"/>
        </w:rPr>
        <w:t xml:space="preserve">Take out the Writing – Analysis and Evidence Part 2 worksheet and annotate and revise the essay according to the worksheet instructions. </w:t>
      </w:r>
    </w:p>
    <w:p w14:paraId="1D8DE7D5" w14:textId="77777777" w:rsidR="00BF7848" w:rsidRPr="00BF7848" w:rsidRDefault="00BF7848" w:rsidP="00BF7848">
      <w:pPr>
        <w:pStyle w:val="ListParagraph"/>
        <w:rPr>
          <w:lang w:val="en-US" w:bidi="ar-SA"/>
        </w:rPr>
      </w:pPr>
      <w:r w:rsidRPr="00BF7848">
        <w:rPr>
          <w:lang w:val="en-US" w:bidi="ar-SA"/>
        </w:rPr>
        <w:t xml:space="preserve">Your teacher may also hand out Sentence Starters worksheet to give you some ideas about how you might revise some of the writing in this essay. </w:t>
      </w:r>
    </w:p>
    <w:p w14:paraId="68039CCF" w14:textId="77777777" w:rsidR="00BF7848" w:rsidRPr="00BF7848" w:rsidRDefault="00BF7848" w:rsidP="00BF7848">
      <w:pPr>
        <w:pStyle w:val="ListParagraph"/>
        <w:rPr>
          <w:lang w:val="en-US" w:bidi="ar-SA"/>
        </w:rPr>
      </w:pPr>
      <w:r w:rsidRPr="00BF7848">
        <w:rPr>
          <w:lang w:val="en-US" w:bidi="ar-SA"/>
        </w:rPr>
        <w:t xml:space="preserve">As usual, first find the major claim or thesis statement. </w:t>
      </w:r>
    </w:p>
    <w:p w14:paraId="6DA3A782" w14:textId="77777777" w:rsidR="00BF7848" w:rsidRPr="00BF7848" w:rsidRDefault="00BF7848" w:rsidP="00BF7848">
      <w:pPr>
        <w:pStyle w:val="ListParagraph"/>
        <w:rPr>
          <w:lang w:val="en-US" w:bidi="ar-SA"/>
        </w:rPr>
      </w:pPr>
      <w:r w:rsidRPr="00BF7848">
        <w:rPr>
          <w:lang w:val="en-US" w:bidi="ar-SA"/>
        </w:rPr>
        <w:t xml:space="preserve">Then, look for analysis and evidence, note where these could be improved, and revise those areas. </w:t>
      </w:r>
    </w:p>
    <w:p w14:paraId="163A5B6B" w14:textId="3A5E1F29" w:rsidR="00B246DD" w:rsidRPr="002B34FE" w:rsidRDefault="00BF7848" w:rsidP="00BF7848">
      <w:pPr>
        <w:pStyle w:val="ListParagraph"/>
        <w:rPr>
          <w:lang w:val="en-US"/>
        </w:rPr>
      </w:pPr>
      <w:r w:rsidRPr="00BF7848">
        <w:rPr>
          <w:lang w:val="en-US" w:bidi="ar-SA"/>
        </w:rPr>
        <w:t>Be prepared to share your answers with the class!</w:t>
      </w:r>
    </w:p>
    <w:p w14:paraId="57D1CA5F" w14:textId="77777777" w:rsidR="00B61D4C" w:rsidRPr="002B34FE" w:rsidRDefault="0048039D" w:rsidP="009C6711">
      <w:pPr>
        <w:rPr>
          <w:lang w:val="en-US"/>
        </w:rPr>
      </w:pPr>
      <w:r w:rsidRPr="002B34FE">
        <w:rPr>
          <w:lang w:val="en-US"/>
        </w:rPr>
        <w:br w:type="page"/>
      </w:r>
    </w:p>
    <w:p w14:paraId="264D88B0" w14:textId="44AB2EB0" w:rsidR="00BE6D3C" w:rsidRDefault="00BF7848" w:rsidP="0048354C">
      <w:pPr>
        <w:pStyle w:val="BodyText"/>
        <w:rPr>
          <w:lang w:val="en-US"/>
        </w:rPr>
      </w:pPr>
      <w:r>
        <w:rPr>
          <w:noProof/>
          <w:lang w:val="en-US"/>
          <w14:ligatures w14:val="standardContextual"/>
        </w:rPr>
        <w:lastRenderedPageBreak/>
        <mc:AlternateContent>
          <mc:Choice Requires="wps">
            <w:drawing>
              <wp:anchor distT="0" distB="0" distL="114300" distR="114300" simplePos="0" relativeHeight="251659264" behindDoc="0" locked="0" layoutInCell="1" allowOverlap="1" wp14:anchorId="7E1D06AE" wp14:editId="260FC5D2">
                <wp:simplePos x="0" y="0"/>
                <wp:positionH relativeFrom="column">
                  <wp:posOffset>432806</wp:posOffset>
                </wp:positionH>
                <wp:positionV relativeFrom="paragraph">
                  <wp:posOffset>236855</wp:posOffset>
                </wp:positionV>
                <wp:extent cx="361902" cy="215265"/>
                <wp:effectExtent l="0" t="0" r="19685" b="13335"/>
                <wp:wrapNone/>
                <wp:docPr id="280671593" name="Oval 1"/>
                <wp:cNvGraphicFramePr/>
                <a:graphic xmlns:a="http://schemas.openxmlformats.org/drawingml/2006/main">
                  <a:graphicData uri="http://schemas.microsoft.com/office/word/2010/wordprocessingShape">
                    <wps:wsp>
                      <wps:cNvSpPr/>
                      <wps:spPr>
                        <a:xfrm>
                          <a:off x="0" y="0"/>
                          <a:ext cx="361902" cy="215265"/>
                        </a:xfrm>
                        <a:prstGeom prst="ellipse">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oval w14:anchorId="5C41E42E" id="Oval 1" o:spid="_x0000_s1026" style="position:absolute;margin-left:34.1pt;margin-top:18.65pt;width:28.5pt;height:1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" filled="f" strokecolor="#c00000" strokeweight="1.5pt">
                <v:stroke joinstyle="miter"/>
              </v:oval>
            </w:pict>
          </mc:Fallback>
        </mc:AlternateContent>
      </w:r>
      <w:r w:rsidR="00BE6D3C" w:rsidRPr="002B34FE">
        <w:rPr>
          <w:b/>
          <w:bCs/>
          <w:lang w:val="en-US"/>
        </w:rPr>
        <w:t>Directions:</w:t>
      </w:r>
      <w:r w:rsidR="00BE6D3C" w:rsidRPr="002B34FE">
        <w:rPr>
          <w:lang w:val="en-US"/>
        </w:rPr>
        <w:t xml:space="preserve"> </w:t>
      </w:r>
      <w:r w:rsidRPr="00BF7848">
        <w:rPr>
          <w:lang w:val="en-US"/>
        </w:rPr>
        <w:t>After reading the essay, follow the steps below.</w:t>
      </w:r>
    </w:p>
    <w:p w14:paraId="0107DDE4" w14:textId="23D88676" w:rsidR="00BF7848" w:rsidRPr="00BF7848" w:rsidRDefault="00BF7848" w:rsidP="00BF7848">
      <w:pPr>
        <w:pStyle w:val="ListParagraph"/>
        <w:numPr>
          <w:ilvl w:val="0"/>
          <w:numId w:val="31"/>
        </w:numPr>
        <w:rPr>
          <w:lang w:val="en-US"/>
        </w:rPr>
      </w:pPr>
      <w:r w:rsidRPr="00BF7848">
        <w:rPr>
          <w:lang w:val="en-US"/>
        </w:rPr>
        <w:t>Circle the major claim.</w:t>
      </w:r>
    </w:p>
    <w:p w14:paraId="25D818C5" w14:textId="77777777" w:rsidR="00BF7848" w:rsidRPr="00BF7848" w:rsidRDefault="00BF7848" w:rsidP="00BF7848">
      <w:pPr>
        <w:pStyle w:val="ListParagraph"/>
        <w:numPr>
          <w:ilvl w:val="0"/>
          <w:numId w:val="31"/>
        </w:numPr>
        <w:rPr>
          <w:lang w:val="en-US"/>
        </w:rPr>
      </w:pPr>
      <w:r w:rsidRPr="00BF7848">
        <w:rPr>
          <w:lang w:val="en-US"/>
        </w:rPr>
        <w:t xml:space="preserve">Look for source material (quotes and citations) and </w:t>
      </w:r>
      <w:r w:rsidRPr="005E4D14">
        <w:rPr>
          <w:u w:val="thick" w:color="0070C0"/>
          <w:lang w:val="en-US"/>
        </w:rPr>
        <w:t>underline</w:t>
      </w:r>
      <w:r w:rsidRPr="00BF7848">
        <w:rPr>
          <w:lang w:val="en-US"/>
        </w:rPr>
        <w:t xml:space="preserve"> the analysis of the source material.</w:t>
      </w:r>
    </w:p>
    <w:p w14:paraId="6E3B0618" w14:textId="77777777" w:rsidR="00BF7848" w:rsidRPr="00BF7848" w:rsidRDefault="00BF7848" w:rsidP="00BF7848">
      <w:pPr>
        <w:pStyle w:val="ListParagraph"/>
        <w:numPr>
          <w:ilvl w:val="0"/>
          <w:numId w:val="31"/>
        </w:numPr>
        <w:rPr>
          <w:lang w:val="en-US"/>
        </w:rPr>
      </w:pPr>
      <w:r w:rsidRPr="00BF7848">
        <w:rPr>
          <w:highlight w:val="yellow"/>
          <w:lang w:val="en-US"/>
        </w:rPr>
        <w:t>Highlight</w:t>
      </w:r>
      <w:r w:rsidRPr="00BF7848">
        <w:rPr>
          <w:lang w:val="en-US"/>
        </w:rPr>
        <w:t xml:space="preserve"> text that connects sources to the thesis/major claim.</w:t>
      </w:r>
    </w:p>
    <w:p w14:paraId="6965CBD4" w14:textId="228C6B49" w:rsidR="00BF7848" w:rsidRPr="00BF7848" w:rsidRDefault="00BF7848" w:rsidP="00BF7848">
      <w:pPr>
        <w:pStyle w:val="ListParagraph"/>
        <w:numPr>
          <w:ilvl w:val="0"/>
          <w:numId w:val="31"/>
        </w:numPr>
        <w:rPr>
          <w:lang w:val="en-US"/>
        </w:rPr>
      </w:pPr>
      <w:r w:rsidRPr="00BF7848">
        <w:rPr>
          <w:lang w:val="en-US"/>
        </w:rPr>
        <w:t xml:space="preserve">Pick two locations where analysis and evidence could be improved upon, put a star </w:t>
      </w:r>
      <w:proofErr w:type="gramStart"/>
      <w:r w:rsidRPr="00BF7848">
        <w:rPr>
          <w:lang w:val="en-US"/>
        </w:rPr>
        <w:t>(</w:t>
      </w:r>
      <w:r>
        <w:rPr>
          <w:lang w:val="en-US"/>
        </w:rPr>
        <w:t xml:space="preserve"> </w:t>
      </w:r>
      <w:r>
        <w:rPr>
          <w:rFonts w:hint="eastAsia"/>
          <w:lang w:val="en-US"/>
        </w:rPr>
        <w:t>★</w:t>
      </w:r>
      <w:proofErr w:type="gramEnd"/>
      <w:r>
        <w:rPr>
          <w:lang w:val="en-US"/>
        </w:rPr>
        <w:t xml:space="preserve"> </w:t>
      </w:r>
      <w:r w:rsidRPr="00BF7848">
        <w:rPr>
          <w:lang w:val="en-US"/>
        </w:rPr>
        <w:t>) next to those sentences, and write your revisions in the space below.</w:t>
      </w:r>
    </w:p>
    <w:p w14:paraId="40101969" w14:textId="28DB4991" w:rsidR="00BF7848" w:rsidRDefault="00BF7848" w:rsidP="00BF7848">
      <w:pPr>
        <w:pStyle w:val="BodyText"/>
        <w:rPr>
          <w:lang w:val="en-US"/>
        </w:rPr>
      </w:pPr>
      <w:r w:rsidRPr="00BF7848">
        <w:rPr>
          <w:b/>
          <w:bCs/>
          <w:lang w:val="en-US"/>
        </w:rPr>
        <w:t>Essay prompt:</w:t>
      </w:r>
      <w:r w:rsidRPr="00BF7848">
        <w:rPr>
          <w:lang w:val="en-US"/>
        </w:rPr>
        <w:t xml:space="preserve"> </w:t>
      </w:r>
      <w:r w:rsidRPr="00BF7848">
        <w:rPr>
          <w:i/>
          <w:iCs/>
          <w:lang w:val="en-US"/>
        </w:rPr>
        <w:t>Develop an argument that evaluates the extent to which states responded to societal and state collapse after the fall of the Roman Empire and Han Dynasty China up to c. 1200 CE.</w:t>
      </w:r>
    </w:p>
    <w:p w14:paraId="53099CF9" w14:textId="56D974F1" w:rsidR="00BF7848" w:rsidRPr="00BF7848" w:rsidRDefault="00BF7848" w:rsidP="00BF7848">
      <w:pPr>
        <w:pStyle w:val="BodyText"/>
        <w:rPr>
          <w:lang w:val="en-US"/>
        </w:rPr>
      </w:pPr>
      <w:r w:rsidRPr="00BF7848">
        <w:rPr>
          <w:lang w:val="en-US"/>
        </w:rPr>
        <w:t>During the height of the Roman Empire and Han Dynasty, trade flourished as goods, spices, and animals moved along the Silk Roads. After the fall of the Han Dynasty in the third century and the Western Roman Empire in the fifth century, the volume of trade declined. The fall of the Roman Empire and Han Dynasty led to a decline in trade along networks of exchange; however, this decline was merely a temporary setback rather than a prolonged reduction of trade.</w:t>
      </w:r>
    </w:p>
    <w:p w14:paraId="1E75A593" w14:textId="6F68183E" w:rsidR="00BF7848" w:rsidRPr="00BF7848" w:rsidRDefault="00BF7848" w:rsidP="00BF7848">
      <w:pPr>
        <w:pStyle w:val="BodyText"/>
        <w:rPr>
          <w:lang w:val="en-US"/>
        </w:rPr>
      </w:pPr>
      <w:r w:rsidRPr="00BF7848">
        <w:rPr>
          <w:lang w:val="en-US"/>
        </w:rPr>
        <w:t>Political and economic instability in China and the Western Roman Empire following the collapse of these empires led to a decline in both availability of and demand for goods. The decline of trade after the collapse of the Han Dynasty is documented in the letter written by Sogdian merchant Fri-</w:t>
      </w:r>
      <w:proofErr w:type="spellStart"/>
      <w:r w:rsidRPr="00BF7848">
        <w:rPr>
          <w:lang w:val="en-US"/>
        </w:rPr>
        <w:t>khwataw</w:t>
      </w:r>
      <w:proofErr w:type="spellEnd"/>
      <w:r w:rsidRPr="00BF7848">
        <w:rPr>
          <w:lang w:val="en-US"/>
        </w:rPr>
        <w:t xml:space="preserve">, who describes conditions in </w:t>
      </w:r>
      <w:proofErr w:type="spellStart"/>
      <w:r w:rsidRPr="00BF7848">
        <w:rPr>
          <w:lang w:val="en-US"/>
        </w:rPr>
        <w:t>Guzang</w:t>
      </w:r>
      <w:proofErr w:type="spellEnd"/>
      <w:r w:rsidRPr="00BF7848">
        <w:rPr>
          <w:lang w:val="en-US"/>
        </w:rPr>
        <w:t>, a city along the Silk Roads. “From inside China I have heard worse … news day by day … there is no caravan departing from here” (Document 1). After the Han Dynasty fell, roads were less safe for travelers and goods.</w:t>
      </w:r>
    </w:p>
    <w:p w14:paraId="020D0095" w14:textId="0776E26F" w:rsidR="00BF7848" w:rsidRPr="00BF7848" w:rsidRDefault="00BF7848" w:rsidP="00BF7848">
      <w:pPr>
        <w:pStyle w:val="BodyText"/>
        <w:rPr>
          <w:lang w:val="en-US"/>
        </w:rPr>
      </w:pPr>
      <w:r w:rsidRPr="00BF7848">
        <w:rPr>
          <w:lang w:val="en-US"/>
        </w:rPr>
        <w:t>While the Silk Road trade networks did decline after the collapse of the Roman Empire and Han Dynasty, trade did not cease to exist. Once the Tang Dynasty (618 – 907) took control of China, trade once again began to increase across networks of exchange. By the early eighth century, trade in the town of Turfan appeared to be increasing. Historian Valerie Hansen writes about merchants selling an enslaved girl and horses along the Silk Roads. While trade appeared to be making a comeback, merchants were required to provide guarantors that the enslaved and horses were not stolen (Document 2). But the fact that they existed at all meant that trade was coming back.</w:t>
      </w:r>
    </w:p>
    <w:p w14:paraId="5E8CDD73" w14:textId="76D982FB" w:rsidR="00BF7848" w:rsidRPr="00BF7848" w:rsidRDefault="00BF7848" w:rsidP="00BF7848">
      <w:pPr>
        <w:pStyle w:val="BodyText"/>
        <w:rPr>
          <w:lang w:val="en-US"/>
        </w:rPr>
      </w:pPr>
      <w:r w:rsidRPr="00BF7848">
        <w:rPr>
          <w:lang w:val="en-US"/>
        </w:rPr>
        <w:t xml:space="preserve">As China transformed from the Tang to Ming dynasties, trade along the Silk Roads continued to flourish. The painting of Buddhist monks, one from East Asia and the other from Central Asia, indicates an agreeable sharing of belief systems between people located </w:t>
      </w:r>
      <w:proofErr w:type="spellStart"/>
      <w:r w:rsidRPr="00BF7848">
        <w:rPr>
          <w:lang w:val="en-US"/>
        </w:rPr>
        <w:t>hundred</w:t>
      </w:r>
      <w:proofErr w:type="spellEnd"/>
      <w:r w:rsidRPr="00BF7848">
        <w:rPr>
          <w:lang w:val="en-US"/>
        </w:rPr>
        <w:t xml:space="preserve"> of miles away (Document 6). Trade around the Eastern Roman Empire’s capital city of Constantinople continued well into the twelfth century. The Jewish traveler Benjamin of Tudela wrote of his experiences in Constantinople, describing it as “a busy city, and merchants come to it from every country by sea or land, and there is none like it in the world except Baghdad…” (Document 7). Merchants from a lot of regions met on Constantinople to trade indicating that networks had fully recovered by this time.  </w:t>
      </w:r>
    </w:p>
    <w:p w14:paraId="05F68E71" w14:textId="5D185D0B" w:rsidR="00BF7848" w:rsidRDefault="00BF7848" w:rsidP="00BF7848">
      <w:pPr>
        <w:pStyle w:val="BodyText"/>
        <w:rPr>
          <w:lang w:val="en-US"/>
        </w:rPr>
      </w:pPr>
      <w:r w:rsidRPr="00BF7848">
        <w:rPr>
          <w:lang w:val="en-US"/>
        </w:rPr>
        <w:lastRenderedPageBreak/>
        <w:t>The collapse of the Western Roman Empire and Han Dynasty led to a decrease in trade. While it did take a few centuries to recover, trade did not fully go away. New communities like the Tang Dynasty and Eastern Roman Empire emerged and used influence and protection along the Silk Roads to rebuild and expand trade from the seventh through the twelfth centuries.</w:t>
      </w:r>
    </w:p>
    <w:p w14:paraId="700E1ABC" w14:textId="77777777" w:rsidR="00BF7848" w:rsidRPr="00BF7848" w:rsidRDefault="00BF7848" w:rsidP="00BF7848">
      <w:pPr>
        <w:pStyle w:val="ListParagraph"/>
        <w:numPr>
          <w:ilvl w:val="0"/>
          <w:numId w:val="32"/>
        </w:numPr>
        <w:rPr>
          <w:b/>
          <w:bCs w:val="0"/>
          <w:lang w:val="en-US"/>
        </w:rPr>
      </w:pPr>
      <w:r w:rsidRPr="00BF7848">
        <w:rPr>
          <w:b/>
          <w:bCs w:val="0"/>
          <w:lang w:val="en-US"/>
        </w:rPr>
        <w:t>Revised analysis and evidence 1:</w:t>
      </w:r>
    </w:p>
    <w:tbl>
      <w:tblPr>
        <w:tblStyle w:val="Default"/>
        <w:tblW w:w="0" w:type="auto"/>
        <w:tblInd w:w="714" w:type="dxa"/>
        <w:tblLook w:val="0600" w:firstRow="0" w:lastRow="0" w:firstColumn="0" w:lastColumn="0" w:noHBand="1" w:noVBand="1"/>
      </w:tblPr>
      <w:tblGrid>
        <w:gridCol w:w="12622"/>
      </w:tblGrid>
      <w:tr w:rsidR="00BF7848" w14:paraId="2D2C14AD" w14:textId="77777777" w:rsidTr="00BF7848">
        <w:trPr>
          <w:trHeight w:val="3515"/>
        </w:trPr>
        <w:tc>
          <w:tcPr>
            <w:tcW w:w="12622" w:type="dxa"/>
          </w:tcPr>
          <w:p w14:paraId="142366D1" w14:textId="77777777" w:rsidR="00BF7848" w:rsidRPr="00BF7848" w:rsidRDefault="00BF7848" w:rsidP="00BF7848"/>
        </w:tc>
      </w:tr>
    </w:tbl>
    <w:p w14:paraId="33312A24" w14:textId="77777777" w:rsidR="00BF7848" w:rsidRPr="00BF7848" w:rsidRDefault="00BF7848" w:rsidP="00BF7848">
      <w:pPr>
        <w:pStyle w:val="ListParagraph"/>
        <w:numPr>
          <w:ilvl w:val="0"/>
          <w:numId w:val="32"/>
        </w:numPr>
        <w:rPr>
          <w:b/>
          <w:bCs w:val="0"/>
          <w:lang w:val="en-US"/>
        </w:rPr>
      </w:pPr>
      <w:r w:rsidRPr="00BF7848">
        <w:rPr>
          <w:b/>
          <w:bCs w:val="0"/>
          <w:lang w:val="en-US"/>
        </w:rPr>
        <w:t>Revised analysis and evidence 2:</w:t>
      </w:r>
    </w:p>
    <w:tbl>
      <w:tblPr>
        <w:tblStyle w:val="Default"/>
        <w:tblW w:w="0" w:type="auto"/>
        <w:tblInd w:w="714" w:type="dxa"/>
        <w:tblLook w:val="0600" w:firstRow="0" w:lastRow="0" w:firstColumn="0" w:lastColumn="0" w:noHBand="1" w:noVBand="1"/>
      </w:tblPr>
      <w:tblGrid>
        <w:gridCol w:w="12622"/>
      </w:tblGrid>
      <w:tr w:rsidR="00BF7848" w14:paraId="26658AF3" w14:textId="77777777" w:rsidTr="00BF7848">
        <w:trPr>
          <w:trHeight w:val="3515"/>
        </w:trPr>
        <w:tc>
          <w:tcPr>
            <w:tcW w:w="12622" w:type="dxa"/>
          </w:tcPr>
          <w:p w14:paraId="2C1B179C" w14:textId="77777777" w:rsidR="00BF7848" w:rsidRPr="00BF7848" w:rsidRDefault="00BF7848" w:rsidP="006F1F24"/>
        </w:tc>
      </w:tr>
      <w:bookmarkEnd w:id="0"/>
    </w:tbl>
    <w:p w14:paraId="5F7491FD" w14:textId="77777777" w:rsidR="00BF7848" w:rsidRPr="00BF7848" w:rsidRDefault="00BF7848" w:rsidP="00BF7848">
      <w:pPr>
        <w:pStyle w:val="HeaderAnchor"/>
        <w:rPr>
          <w:lang w:val="en-US"/>
        </w:rPr>
      </w:pPr>
    </w:p>
    <w:sectPr w:rsidR="00BF7848" w:rsidRPr="00BF7848"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A315" w14:textId="77777777" w:rsidR="00045FA0" w:rsidRDefault="00045FA0" w:rsidP="00A83BC7">
      <w:r>
        <w:separator/>
      </w:r>
    </w:p>
  </w:endnote>
  <w:endnote w:type="continuationSeparator" w:id="0">
    <w:p w14:paraId="2F5CE9B7" w14:textId="77777777" w:rsidR="00045FA0" w:rsidRDefault="00045FA0"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A8116"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CD6F26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D45CC78" wp14:editId="29C208D0">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9DB3"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FCEC453" w14:textId="77ABE93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w:t>
      </w:r>
      <w:r w:rsidRPr="00975739">
        <w:rPr>
          <w:rStyle w:val="Hyperlink"/>
          <w:color w:val="767171" w:themeColor="background2" w:themeShade="80"/>
        </w:rPr>
        <w:t>0</w:t>
      </w:r>
    </w:hyperlink>
    <w:r w:rsidRPr="00975739">
      <w:t>. Credit: “</w:t>
    </w:r>
    <w:r w:rsidR="006501F5">
      <w:t>Writing—Analysis and Evidence Part 2</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EEA6A68" wp14:editId="02010B66">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EF7F" w14:textId="77777777" w:rsidR="00045FA0" w:rsidRDefault="00045FA0" w:rsidP="00A83BC7">
      <w:r>
        <w:separator/>
      </w:r>
    </w:p>
  </w:footnote>
  <w:footnote w:type="continuationSeparator" w:id="0">
    <w:p w14:paraId="124DA32F" w14:textId="77777777" w:rsidR="00045FA0" w:rsidRDefault="00045FA0"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BF8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DCEB011" wp14:editId="7D45792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863EEB6"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9D998E2" w14:textId="344EC140"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F7848">
          <w:t>WHP ORIGINS / LESSON 6.12 ACTIVITY</w:t>
        </w:r>
      </w:sdtContent>
    </w:sdt>
    <w:r w:rsidR="00A11C2A">
      <w:tab/>
    </w:r>
    <w:r w:rsidR="00A11C2A" w:rsidRPr="009C6711">
      <w:t>STUDENT</w:t>
    </w:r>
    <w:r w:rsidR="00A11C2A" w:rsidRPr="00297AC7">
      <w:t xml:space="preserve"> MATERIALS</w:t>
    </w:r>
  </w:p>
  <w:p w14:paraId="4BCAD7F7" w14:textId="22048996"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501F5">
          <w:t>WRITING—ANALYSIS AND EVIDENCE PART 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710E"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3D8D8B9" wp14:editId="00FEFDC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6B2A1E"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15AD3EC" wp14:editId="2480DEA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4E18454"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FDD1581" w14:textId="4BCC6F26"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BF7848">
          <w:t>6.12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F8ED385" w14:textId="09AAD037" w:rsidR="009C6711" w:rsidRDefault="00BF7848" w:rsidP="009C6711">
        <w:pPr>
          <w:pStyle w:val="Title"/>
        </w:pPr>
        <w:r w:rsidRPr="00BF7848">
          <w:t>WRITING—ANALYSIS AND EVIDENCE PART 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3573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4154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48"/>
    <w:rsid w:val="00002C4E"/>
    <w:rsid w:val="00003A42"/>
    <w:rsid w:val="000162BB"/>
    <w:rsid w:val="00017CD0"/>
    <w:rsid w:val="000400DF"/>
    <w:rsid w:val="00045FA0"/>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2E5D"/>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E4D14"/>
    <w:rsid w:val="005F4710"/>
    <w:rsid w:val="005F60F3"/>
    <w:rsid w:val="0062454E"/>
    <w:rsid w:val="00632829"/>
    <w:rsid w:val="00633ED5"/>
    <w:rsid w:val="00641F96"/>
    <w:rsid w:val="0064258F"/>
    <w:rsid w:val="006429F3"/>
    <w:rsid w:val="0064548C"/>
    <w:rsid w:val="00646B3B"/>
    <w:rsid w:val="00646C08"/>
    <w:rsid w:val="006501F5"/>
    <w:rsid w:val="00651891"/>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4C6"/>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D0DB5"/>
    <w:rsid w:val="00A00534"/>
    <w:rsid w:val="00A02023"/>
    <w:rsid w:val="00A11C2A"/>
    <w:rsid w:val="00A17592"/>
    <w:rsid w:val="00A201B0"/>
    <w:rsid w:val="00A20FDF"/>
    <w:rsid w:val="00A440F9"/>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7848"/>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13867"/>
    <w:rsid w:val="00D2009F"/>
    <w:rsid w:val="00D20B55"/>
    <w:rsid w:val="00D30FAE"/>
    <w:rsid w:val="00D316F6"/>
    <w:rsid w:val="00D354F9"/>
    <w:rsid w:val="00D457C3"/>
    <w:rsid w:val="00D523E9"/>
    <w:rsid w:val="00D77522"/>
    <w:rsid w:val="00D91B2A"/>
    <w:rsid w:val="00D92FE5"/>
    <w:rsid w:val="00DA1410"/>
    <w:rsid w:val="00DC21BC"/>
    <w:rsid w:val="00DD0DA0"/>
    <w:rsid w:val="00DD65AC"/>
    <w:rsid w:val="00DF5DDF"/>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6CFFA"/>
  <w15:chartTrackingRefBased/>
  <w15:docId w15:val="{D6D027EA-9860-447C-8F62-5D690D0B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9</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WRITING—ANALYSIS AND EVIDENCE PART 2</dc:title>
  <dc:subject>WHP ORIGINS / LESSON 6.12 ACTIVITY</dc:subject>
  <dc:creator>Sandra Thibeault</dc:creator>
  <cp:keywords/>
  <dc:description/>
  <cp:lastModifiedBy>Jay Heins</cp:lastModifiedBy>
  <cp:revision>3</cp:revision>
  <cp:lastPrinted>2023-11-03T18:20:00Z</cp:lastPrinted>
  <dcterms:created xsi:type="dcterms:W3CDTF">2024-06-05T18:20:00Z</dcterms:created>
  <dcterms:modified xsi:type="dcterms:W3CDTF">2024-06-06T15:17:00Z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