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24BD" w14:textId="09F20F81" w:rsidR="005E16B7" w:rsidRPr="002B34FE" w:rsidRDefault="005E16B7" w:rsidP="00D85AF5">
      <w:pPr>
        <w:pStyle w:val="Heading2"/>
        <w:spacing w:before="100" w:beforeAutospacing="1"/>
        <w:rPr>
          <w:lang w:val="en-US"/>
        </w:rPr>
      </w:pPr>
      <w:r w:rsidRPr="005E16B7">
        <w:rPr>
          <w:lang w:val="en-US"/>
        </w:rPr>
        <w:t>Sourcing: Feedback Form</w:t>
      </w:r>
    </w:p>
    <w:p w14:paraId="22E026F3" w14:textId="6C1B4AF6" w:rsidR="005E16B7" w:rsidRPr="002B34FE" w:rsidRDefault="005E16B7" w:rsidP="005E16B7">
      <w:pPr>
        <w:pStyle w:val="BodyText"/>
        <w:rPr>
          <w:lang w:val="en-US"/>
        </w:rPr>
      </w:pPr>
      <w:r w:rsidRPr="002B34FE">
        <w:rPr>
          <w:b/>
          <w:bCs/>
          <w:lang w:val="en-US"/>
        </w:rPr>
        <w:t>Directions:</w:t>
      </w:r>
      <w:r w:rsidRPr="002B34FE">
        <w:rPr>
          <w:lang w:val="en-US"/>
        </w:rPr>
        <w:t xml:space="preserve"> </w:t>
      </w:r>
      <w:r w:rsidRPr="005E16B7">
        <w:rPr>
          <w:lang w:val="en-US"/>
        </w:rPr>
        <w:t>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5E16B7" w:rsidRPr="00500334" w14:paraId="3F6ED9D7" w14:textId="77777777" w:rsidTr="005E16B7">
        <w:tc>
          <w:tcPr>
            <w:tcW w:w="1980" w:type="dxa"/>
            <w:shd w:val="clear" w:color="auto" w:fill="BFBFBF" w:themeFill="background1" w:themeFillShade="BF"/>
          </w:tcPr>
          <w:p w14:paraId="5069C9BF" w14:textId="77777777" w:rsidR="005E16B7" w:rsidRPr="005E16B7" w:rsidRDefault="005E16B7" w:rsidP="005E16B7">
            <w:pPr>
              <w:rPr>
                <w:b/>
                <w:bCs/>
                <w:lang w:val="en-US"/>
              </w:rPr>
            </w:pPr>
            <w:r w:rsidRPr="005E16B7">
              <w:rPr>
                <w:b/>
                <w:bCs/>
                <w:lang w:val="en-US"/>
              </w:rPr>
              <w:t>Historical Context</w:t>
            </w:r>
          </w:p>
          <w:p w14:paraId="0C430C47" w14:textId="056D8D24" w:rsidR="005E16B7" w:rsidRPr="005E16B7" w:rsidRDefault="005E16B7" w:rsidP="005E16B7">
            <w:pPr>
              <w:spacing w:before="0" w:after="0"/>
              <w:rPr>
                <w:lang w:val="en-US"/>
              </w:rPr>
            </w:pPr>
            <w:r w:rsidRPr="005E16B7">
              <w:rPr>
                <w:sz w:val="20"/>
                <w:szCs w:val="20"/>
                <w:lang w:val="en-US"/>
              </w:rPr>
              <w:t>(Time, place, outside knowledge)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033ABBAA" w14:textId="1DAFCC6C" w:rsidR="005E16B7" w:rsidRPr="00B030EF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No description of historical context is provided.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7F3E2140" w14:textId="0DA80FED" w:rsidR="005E16B7" w:rsidRPr="00B030EF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Historical context is described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0D8E92CF" w14:textId="621F9C8D" w:rsidR="005E16B7" w:rsidRPr="00B030EF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A brief analysis of the historical context is provided.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4E521EA7" w14:textId="76AC719C" w:rsidR="005E16B7" w:rsidRPr="00B030EF" w:rsidRDefault="00000000" w:rsidP="005E16B7">
            <w:pPr>
              <w:tabs>
                <w:tab w:val="left" w:pos="337"/>
              </w:tabs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An extended analysis of the historical context is provided.</w:t>
            </w:r>
          </w:p>
        </w:tc>
      </w:tr>
      <w:tr w:rsidR="005E16B7" w:rsidRPr="00500334" w14:paraId="34511ABC" w14:textId="77777777" w:rsidTr="00D85AF5">
        <w:trPr>
          <w:trHeight w:val="1134"/>
        </w:trPr>
        <w:tc>
          <w:tcPr>
            <w:tcW w:w="13336" w:type="dxa"/>
            <w:gridSpan w:val="5"/>
          </w:tcPr>
          <w:p w14:paraId="1AA7D989" w14:textId="77777777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267B8074" w14:textId="77777777" w:rsidR="005E16B7" w:rsidRDefault="005E16B7" w:rsidP="005E16B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97"/>
        <w:gridCol w:w="2834"/>
        <w:gridCol w:w="2835"/>
        <w:gridCol w:w="2835"/>
        <w:gridCol w:w="2835"/>
      </w:tblGrid>
      <w:tr w:rsidR="005E16B7" w:rsidRPr="00500334" w14:paraId="5472AF9C" w14:textId="77777777" w:rsidTr="00D85AF5">
        <w:tc>
          <w:tcPr>
            <w:tcW w:w="1997" w:type="dxa"/>
            <w:shd w:val="clear" w:color="auto" w:fill="BFBFBF" w:themeFill="background1" w:themeFillShade="BF"/>
          </w:tcPr>
          <w:p w14:paraId="6AFBBA07" w14:textId="3F02B34C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E16B7">
              <w:rPr>
                <w:b/>
                <w:bCs/>
                <w:lang w:val="en-US"/>
              </w:rPr>
              <w:t>Audience</w:t>
            </w:r>
          </w:p>
        </w:tc>
        <w:tc>
          <w:tcPr>
            <w:tcW w:w="2834" w:type="dxa"/>
            <w:tcBorders>
              <w:tr2bl w:val="single" w:sz="4" w:space="0" w:color="auto"/>
            </w:tcBorders>
          </w:tcPr>
          <w:p w14:paraId="561CA138" w14:textId="4A2C0A17" w:rsidR="005E16B7" w:rsidRPr="00B030EF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No description of audience is provided.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2361B2CB" w14:textId="75BCDB45" w:rsidR="005E16B7" w:rsidRPr="00B030EF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Audience is described.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7614DA3A" w14:textId="2E9B4AF2" w:rsidR="005E16B7" w:rsidRPr="00B030EF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A brief analysis of the audience is provided.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6BAC84E1" w14:textId="7EF4E9EE" w:rsidR="005E16B7" w:rsidRPr="00B030EF" w:rsidRDefault="00000000" w:rsidP="00524377">
            <w:pPr>
              <w:tabs>
                <w:tab w:val="left" w:pos="337"/>
              </w:tabs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 w:rsidRPr="00B030EF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5E16B7" w:rsidRPr="00B030EF">
              <w:rPr>
                <w:color w:val="BFBFBF" w:themeColor="background1" w:themeShade="BF"/>
                <w:lang w:val="en-US"/>
              </w:rPr>
              <w:tab/>
              <w:t>An extended analysis of the audience is provided.</w:t>
            </w:r>
          </w:p>
        </w:tc>
      </w:tr>
      <w:tr w:rsidR="005E16B7" w:rsidRPr="00500334" w14:paraId="6617BEBD" w14:textId="77777777" w:rsidTr="00D85AF5">
        <w:trPr>
          <w:trHeight w:val="1134"/>
        </w:trPr>
        <w:tc>
          <w:tcPr>
            <w:tcW w:w="13336" w:type="dxa"/>
            <w:gridSpan w:val="5"/>
          </w:tcPr>
          <w:p w14:paraId="4EC7E7E3" w14:textId="77777777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7FD393E" w14:textId="77777777" w:rsidR="005E16B7" w:rsidRDefault="005E16B7" w:rsidP="005E16B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97"/>
        <w:gridCol w:w="2834"/>
        <w:gridCol w:w="2835"/>
        <w:gridCol w:w="2835"/>
        <w:gridCol w:w="2835"/>
      </w:tblGrid>
      <w:tr w:rsidR="005E16B7" w:rsidRPr="00500334" w14:paraId="6ACD3B15" w14:textId="77777777" w:rsidTr="00D85AF5">
        <w:tc>
          <w:tcPr>
            <w:tcW w:w="1997" w:type="dxa"/>
            <w:shd w:val="clear" w:color="auto" w:fill="BFBFBF" w:themeFill="background1" w:themeFillShade="BF"/>
          </w:tcPr>
          <w:p w14:paraId="7A48BDBE" w14:textId="77777777" w:rsidR="005E16B7" w:rsidRPr="005E16B7" w:rsidRDefault="005E16B7" w:rsidP="005E16B7">
            <w:pPr>
              <w:spacing w:before="0" w:after="0"/>
              <w:rPr>
                <w:b/>
                <w:bCs/>
                <w:lang w:val="en-US"/>
              </w:rPr>
            </w:pPr>
            <w:r w:rsidRPr="005E16B7">
              <w:rPr>
                <w:b/>
                <w:bCs/>
                <w:lang w:val="en-US"/>
              </w:rPr>
              <w:t>Purpose</w:t>
            </w:r>
          </w:p>
          <w:p w14:paraId="0889DE89" w14:textId="53A41064" w:rsidR="005E16B7" w:rsidRPr="00500334" w:rsidRDefault="005E16B7" w:rsidP="005E16B7">
            <w:pPr>
              <w:spacing w:before="0" w:after="0"/>
              <w:rPr>
                <w:b/>
                <w:bCs/>
                <w:lang w:val="en-US"/>
              </w:rPr>
            </w:pPr>
            <w:r w:rsidRPr="005E16B7">
              <w:rPr>
                <w:sz w:val="20"/>
                <w:szCs w:val="20"/>
                <w:lang w:val="en-US"/>
              </w:rPr>
              <w:t>(Author’s goal and evidence)</w:t>
            </w:r>
          </w:p>
        </w:tc>
        <w:tc>
          <w:tcPr>
            <w:tcW w:w="2834" w:type="dxa"/>
          </w:tcPr>
          <w:p w14:paraId="2C2AED89" w14:textId="19CEC100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No description of purpose is provided.</w:t>
            </w:r>
          </w:p>
        </w:tc>
        <w:tc>
          <w:tcPr>
            <w:tcW w:w="2835" w:type="dxa"/>
          </w:tcPr>
          <w:p w14:paraId="48245061" w14:textId="77777777" w:rsidR="005E16B7" w:rsidRPr="00500334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Purpose is described.</w:t>
            </w:r>
          </w:p>
        </w:tc>
        <w:tc>
          <w:tcPr>
            <w:tcW w:w="2835" w:type="dxa"/>
          </w:tcPr>
          <w:p w14:paraId="05E76A5A" w14:textId="6AD383A2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738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 xml:space="preserve"> A brief analysis of the purpose is provided.</w:t>
            </w:r>
          </w:p>
        </w:tc>
        <w:tc>
          <w:tcPr>
            <w:tcW w:w="2835" w:type="dxa"/>
            <w:tcBorders>
              <w:tr2bl w:val="nil"/>
            </w:tcBorders>
          </w:tcPr>
          <w:p w14:paraId="19E7C069" w14:textId="73432DC8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An extended analysis of the purpose is provided.</w:t>
            </w:r>
          </w:p>
        </w:tc>
      </w:tr>
      <w:tr w:rsidR="005E16B7" w:rsidRPr="00500334" w14:paraId="37CD9D10" w14:textId="77777777" w:rsidTr="00D85AF5">
        <w:trPr>
          <w:trHeight w:val="1134"/>
        </w:trPr>
        <w:tc>
          <w:tcPr>
            <w:tcW w:w="13336" w:type="dxa"/>
            <w:gridSpan w:val="5"/>
          </w:tcPr>
          <w:p w14:paraId="5E6084A5" w14:textId="77777777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660F3099" w14:textId="77777777" w:rsidR="005E16B7" w:rsidRDefault="005E16B7" w:rsidP="005E16B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69"/>
        <w:gridCol w:w="2841"/>
        <w:gridCol w:w="2842"/>
        <w:gridCol w:w="2842"/>
        <w:gridCol w:w="2842"/>
      </w:tblGrid>
      <w:tr w:rsidR="005E16B7" w:rsidRPr="00500334" w14:paraId="54EA7E4F" w14:textId="77777777" w:rsidTr="00D85AF5">
        <w:tc>
          <w:tcPr>
            <w:tcW w:w="1969" w:type="dxa"/>
            <w:shd w:val="clear" w:color="auto" w:fill="BFBFBF" w:themeFill="background1" w:themeFillShade="BF"/>
          </w:tcPr>
          <w:p w14:paraId="6FC849DA" w14:textId="464AFE0A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E16B7">
              <w:rPr>
                <w:b/>
                <w:bCs/>
                <w:lang w:val="en-US"/>
              </w:rPr>
              <w:t>Point of View</w:t>
            </w:r>
          </w:p>
        </w:tc>
        <w:tc>
          <w:tcPr>
            <w:tcW w:w="2841" w:type="dxa"/>
          </w:tcPr>
          <w:p w14:paraId="59BBC2AA" w14:textId="0FA0FF98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No description of point of view is provided</w:t>
            </w:r>
            <w:r w:rsidR="005E16B7">
              <w:rPr>
                <w:lang w:val="en-US"/>
              </w:rPr>
              <w:t>.</w:t>
            </w:r>
          </w:p>
        </w:tc>
        <w:tc>
          <w:tcPr>
            <w:tcW w:w="2842" w:type="dxa"/>
          </w:tcPr>
          <w:p w14:paraId="67C127FD" w14:textId="0F90423E" w:rsidR="005E16B7" w:rsidRPr="00500334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Point of view is described.</w:t>
            </w:r>
          </w:p>
        </w:tc>
        <w:tc>
          <w:tcPr>
            <w:tcW w:w="2842" w:type="dxa"/>
            <w:tcBorders>
              <w:tr2bl w:val="nil"/>
            </w:tcBorders>
          </w:tcPr>
          <w:p w14:paraId="3D0BE32F" w14:textId="78DB919F" w:rsidR="005E16B7" w:rsidRPr="008817A7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A brief analysis of point of view is provided.</w:t>
            </w:r>
          </w:p>
        </w:tc>
        <w:tc>
          <w:tcPr>
            <w:tcW w:w="2842" w:type="dxa"/>
            <w:tcBorders>
              <w:tr2bl w:val="nil"/>
            </w:tcBorders>
          </w:tcPr>
          <w:p w14:paraId="12B8C1AB" w14:textId="11B838E6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An extended analysis of the point of view is provided.</w:t>
            </w:r>
          </w:p>
        </w:tc>
      </w:tr>
      <w:tr w:rsidR="005E16B7" w:rsidRPr="00500334" w14:paraId="6A849BFE" w14:textId="77777777" w:rsidTr="00D85AF5">
        <w:trPr>
          <w:trHeight w:val="1134"/>
        </w:trPr>
        <w:tc>
          <w:tcPr>
            <w:tcW w:w="13336" w:type="dxa"/>
            <w:gridSpan w:val="5"/>
          </w:tcPr>
          <w:p w14:paraId="42FC7796" w14:textId="77777777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96B848F" w14:textId="77777777" w:rsidR="005E16B7" w:rsidRDefault="005E16B7" w:rsidP="005E16B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69"/>
        <w:gridCol w:w="2841"/>
        <w:gridCol w:w="2842"/>
        <w:gridCol w:w="2842"/>
        <w:gridCol w:w="2842"/>
      </w:tblGrid>
      <w:tr w:rsidR="005E16B7" w:rsidRPr="00500334" w14:paraId="60317B62" w14:textId="77777777" w:rsidTr="00D85AF5">
        <w:tc>
          <w:tcPr>
            <w:tcW w:w="1969" w:type="dxa"/>
            <w:shd w:val="clear" w:color="auto" w:fill="BFBFBF" w:themeFill="background1" w:themeFillShade="BF"/>
          </w:tcPr>
          <w:p w14:paraId="329CA3DF" w14:textId="77777777" w:rsidR="00D85AF5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proofErr w:type="spellStart"/>
            <w:r w:rsidRPr="005E16B7">
              <w:rPr>
                <w:b/>
                <w:bCs/>
                <w:lang w:val="en-US"/>
              </w:rPr>
              <w:lastRenderedPageBreak/>
              <w:t>WhY</w:t>
            </w:r>
            <w:proofErr w:type="spellEnd"/>
            <w:r w:rsidRPr="005E16B7">
              <w:rPr>
                <w:b/>
                <w:bCs/>
                <w:lang w:val="en-US"/>
              </w:rPr>
              <w:t xml:space="preserve"> </w:t>
            </w:r>
          </w:p>
          <w:p w14:paraId="6441C31D" w14:textId="762633C3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E16B7">
              <w:rPr>
                <w:sz w:val="20"/>
                <w:szCs w:val="20"/>
                <w:lang w:val="en-US"/>
              </w:rPr>
              <w:t>(Importance)</w:t>
            </w:r>
          </w:p>
        </w:tc>
        <w:tc>
          <w:tcPr>
            <w:tcW w:w="2841" w:type="dxa"/>
          </w:tcPr>
          <w:p w14:paraId="49E72AF1" w14:textId="74B3F583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2212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No description of importance is provided.</w:t>
            </w:r>
          </w:p>
        </w:tc>
        <w:tc>
          <w:tcPr>
            <w:tcW w:w="2842" w:type="dxa"/>
          </w:tcPr>
          <w:p w14:paraId="44673F9C" w14:textId="56ED0C9A" w:rsidR="005E16B7" w:rsidRPr="00500334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42301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Importance is described.</w:t>
            </w:r>
          </w:p>
        </w:tc>
        <w:tc>
          <w:tcPr>
            <w:tcW w:w="2842" w:type="dxa"/>
            <w:tcBorders>
              <w:tr2bl w:val="nil"/>
            </w:tcBorders>
          </w:tcPr>
          <w:p w14:paraId="48001844" w14:textId="7C1316E7" w:rsidR="005E16B7" w:rsidRPr="008817A7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206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A brief analysis of importance is provided.</w:t>
            </w:r>
          </w:p>
        </w:tc>
        <w:tc>
          <w:tcPr>
            <w:tcW w:w="2842" w:type="dxa"/>
            <w:tcBorders>
              <w:tr2bl w:val="nil"/>
            </w:tcBorders>
          </w:tcPr>
          <w:p w14:paraId="46AFC550" w14:textId="6EF880CB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0969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5E16B7">
              <w:rPr>
                <w:lang w:val="en-US"/>
              </w:rPr>
              <w:t>An extended analysis of importance is provided.</w:t>
            </w:r>
          </w:p>
        </w:tc>
      </w:tr>
      <w:tr w:rsidR="005E16B7" w:rsidRPr="00500334" w14:paraId="5E3137D1" w14:textId="77777777" w:rsidTr="00D85AF5">
        <w:trPr>
          <w:trHeight w:val="1134"/>
        </w:trPr>
        <w:tc>
          <w:tcPr>
            <w:tcW w:w="13336" w:type="dxa"/>
            <w:gridSpan w:val="5"/>
          </w:tcPr>
          <w:p w14:paraId="655738F7" w14:textId="77777777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37EDF31" w14:textId="77777777" w:rsidR="005E16B7" w:rsidRDefault="005E16B7" w:rsidP="005E16B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97"/>
        <w:gridCol w:w="3779"/>
        <w:gridCol w:w="3780"/>
        <w:gridCol w:w="3780"/>
      </w:tblGrid>
      <w:tr w:rsidR="005E16B7" w:rsidRPr="00500334" w14:paraId="467E6C90" w14:textId="77777777" w:rsidTr="00D85AF5">
        <w:tc>
          <w:tcPr>
            <w:tcW w:w="1997" w:type="dxa"/>
            <w:shd w:val="clear" w:color="auto" w:fill="BFBFBF" w:themeFill="background1" w:themeFillShade="BF"/>
          </w:tcPr>
          <w:p w14:paraId="0CB17510" w14:textId="77777777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779" w:type="dxa"/>
          </w:tcPr>
          <w:p w14:paraId="0EE48D54" w14:textId="77777777" w:rsidR="005E16B7" w:rsidRPr="008817A7" w:rsidRDefault="00000000" w:rsidP="00524377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7794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710E90ED" w14:textId="77777777" w:rsidR="005E16B7" w:rsidRPr="008817A7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There are many minor errors or a major error in applying historical content.</w:t>
            </w:r>
          </w:p>
          <w:p w14:paraId="56DAC3E4" w14:textId="77777777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Uses many unsupported opinions.</w:t>
            </w:r>
          </w:p>
        </w:tc>
        <w:tc>
          <w:tcPr>
            <w:tcW w:w="3780" w:type="dxa"/>
          </w:tcPr>
          <w:p w14:paraId="2199DBF8" w14:textId="77777777" w:rsidR="005E16B7" w:rsidRPr="008817A7" w:rsidRDefault="00000000" w:rsidP="00524377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527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Avoids explicit misconceptions of the content.</w:t>
            </w:r>
          </w:p>
          <w:p w14:paraId="26988047" w14:textId="77777777" w:rsidR="005E16B7" w:rsidRPr="008817A7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May make an occasional minor error in applying historical content.</w:t>
            </w:r>
          </w:p>
          <w:p w14:paraId="437DECB3" w14:textId="77777777" w:rsidR="005E16B7" w:rsidRPr="00500334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Uses some unsupported opinions.</w:t>
            </w:r>
          </w:p>
        </w:tc>
        <w:tc>
          <w:tcPr>
            <w:tcW w:w="3780" w:type="dxa"/>
            <w:tcBorders>
              <w:tr2bl w:val="nil"/>
            </w:tcBorders>
          </w:tcPr>
          <w:p w14:paraId="50EE5EC0" w14:textId="77777777" w:rsidR="005E16B7" w:rsidRPr="008817A7" w:rsidRDefault="00000000" w:rsidP="00524377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94180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Avoids misconceptions.</w:t>
            </w:r>
          </w:p>
          <w:p w14:paraId="63B5CFC7" w14:textId="77777777" w:rsidR="005E16B7" w:rsidRPr="008817A7" w:rsidRDefault="00000000" w:rsidP="0052437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There are no errors in applying historical content.</w:t>
            </w:r>
          </w:p>
          <w:p w14:paraId="50F0F1F0" w14:textId="77777777" w:rsidR="005E16B7" w:rsidRPr="00500334" w:rsidRDefault="00000000" w:rsidP="0052437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008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6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16B7">
              <w:rPr>
                <w:lang w:val="en-US"/>
              </w:rPr>
              <w:tab/>
            </w:r>
            <w:r w:rsidR="005E16B7" w:rsidRPr="008817A7">
              <w:rPr>
                <w:lang w:val="en-US"/>
              </w:rPr>
              <w:t>Avoids using unsupported opinions.</w:t>
            </w:r>
          </w:p>
        </w:tc>
      </w:tr>
      <w:tr w:rsidR="005E16B7" w:rsidRPr="00500334" w14:paraId="560CCA28" w14:textId="77777777" w:rsidTr="00524377">
        <w:trPr>
          <w:trHeight w:val="1417"/>
        </w:trPr>
        <w:tc>
          <w:tcPr>
            <w:tcW w:w="13336" w:type="dxa"/>
            <w:gridSpan w:val="4"/>
          </w:tcPr>
          <w:p w14:paraId="7B17AB1F" w14:textId="77777777" w:rsidR="005E16B7" w:rsidRPr="00500334" w:rsidRDefault="005E16B7" w:rsidP="00524377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A39CCCF" w14:textId="5A6932D7" w:rsidR="00A11C2A" w:rsidRPr="00AF514A" w:rsidRDefault="00A11C2A" w:rsidP="00AF514A"/>
    <w:sectPr w:rsidR="00A11C2A" w:rsidRPr="00AF514A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D699" w14:textId="77777777" w:rsidR="00B01EFD" w:rsidRDefault="00B01EFD" w:rsidP="00A83BC7">
      <w:r>
        <w:separator/>
      </w:r>
    </w:p>
  </w:endnote>
  <w:endnote w:type="continuationSeparator" w:id="0">
    <w:p w14:paraId="2972C1B4" w14:textId="77777777" w:rsidR="00B01EFD" w:rsidRDefault="00B01EFD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2EA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5F15B50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D25237D" wp14:editId="04CF33D4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B11F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B74DA30" w14:textId="50F212F2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B030EF" w:rsidRPr="00B030EF">
      <w:t>Sourcing—Differing Perspectives on Imperialism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6E8B58C1" wp14:editId="72D8C824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FC85" w14:textId="77777777" w:rsidR="00B01EFD" w:rsidRDefault="00B01EFD" w:rsidP="00A83BC7">
      <w:r>
        <w:separator/>
      </w:r>
    </w:p>
  </w:footnote>
  <w:footnote w:type="continuationSeparator" w:id="0">
    <w:p w14:paraId="33DA1910" w14:textId="77777777" w:rsidR="00B01EFD" w:rsidRDefault="00B01EFD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A644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C626E3B" wp14:editId="072B8F4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7C6547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568D4103" w14:textId="3914363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83783">
          <w:t>WHP ORIGINS / LESSON 7.7 ACTIVITY</w:t>
        </w:r>
      </w:sdtContent>
    </w:sdt>
    <w:r w:rsidR="00A11C2A">
      <w:tab/>
    </w:r>
    <w:r w:rsidR="00D85AF5">
      <w:t>TEACHER</w:t>
    </w:r>
    <w:r w:rsidR="00A11C2A" w:rsidRPr="00297AC7">
      <w:t xml:space="preserve"> MATERIALS</w:t>
    </w:r>
  </w:p>
  <w:p w14:paraId="040406C8" w14:textId="4C6882C6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030EF">
          <w:t>Sourcing—Differing Perspectives on Imperialism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ED52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C03EF16" wp14:editId="5DF7D2C4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2284F52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75D96C1" wp14:editId="2C6D0CA8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4FA0E13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09213C08" w14:textId="5EDB1730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183783">
          <w:t>7.7 ACTIVITY</w:t>
        </w:r>
      </w:sdtContent>
    </w:sdt>
    <w:r w:rsidR="009C6711">
      <w:tab/>
    </w:r>
    <w:r w:rsidR="00D85AF5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B08BF32" w14:textId="1FBC991E" w:rsidR="009C6711" w:rsidRDefault="00B030EF" w:rsidP="009C6711">
        <w:pPr>
          <w:pStyle w:val="Title"/>
        </w:pPr>
        <w:r w:rsidRPr="00B030EF">
          <w:t>Sourcing—Differing Perspectives on Imperialism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B7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3783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D7F8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B7C6C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E16B7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0EE1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54374"/>
    <w:rsid w:val="0076264A"/>
    <w:rsid w:val="00770FD1"/>
    <w:rsid w:val="00772948"/>
    <w:rsid w:val="007A3BDD"/>
    <w:rsid w:val="007A6540"/>
    <w:rsid w:val="007B2CAB"/>
    <w:rsid w:val="007B35E5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47145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14A"/>
    <w:rsid w:val="00AF551C"/>
    <w:rsid w:val="00AF5C32"/>
    <w:rsid w:val="00B01EFD"/>
    <w:rsid w:val="00B030EF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2D7"/>
    <w:rsid w:val="00C818A8"/>
    <w:rsid w:val="00C84659"/>
    <w:rsid w:val="00C85C9F"/>
    <w:rsid w:val="00CA49E8"/>
    <w:rsid w:val="00CA6363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85AF5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5F688"/>
  <w15:chartTrackingRefBased/>
  <w15:docId w15:val="{F51EA3D1-2A80-4BD1-8907-F72420C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11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Sourcing—Differing Perspectives on Imperialism</dc:title>
  <dc:subject>WHP ORIGINS / LESSON 7.7 ACTIVITY</dc:subject>
  <dc:creator>Sandra Thibeault</dc:creator>
  <cp:keywords/>
  <dc:description/>
  <cp:lastModifiedBy>Jay Heins</cp:lastModifiedBy>
  <cp:revision>4</cp:revision>
  <cp:lastPrinted>2023-11-03T18:20:00Z</cp:lastPrinted>
  <dcterms:created xsi:type="dcterms:W3CDTF">2024-06-13T19:43:00Z</dcterms:created>
  <dcterms:modified xsi:type="dcterms:W3CDTF">2024-06-19T22:26:00Z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